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jpg" ContentType="image/jpeg"/>
  <Override PartName="/word/media/rId75.png" ContentType="image/png"/>
  <Override PartName="/word/media/rId95.jpg" ContentType="image/jpeg"/>
  <Override PartName="/word/media/rId70.jpg" ContentType="image/jpeg"/>
  <Override PartName="/word/media/rId79.png" ContentType="image/png"/>
  <Override PartName="/word/media/rId96.png" ContentType="image/png"/>
  <Override PartName="/word/media/rId102.jpg" ContentType="image/jpeg"/>
  <Override PartName="/word/media/rId84.jpg" ContentType="image/jpeg"/>
  <Override PartName="/word/media/rId103.jpg" ContentType="image/jpeg"/>
  <Override PartName="/word/media/rId82.jpg" ContentType="image/jpeg"/>
  <Override PartName="/word/media/rId88.jpg" ContentType="image/jpeg"/>
  <Override PartName="/word/media/rId87.png" ContentType="image/png"/>
  <Override PartName="/word/media/rId90.jpg" ContentType="image/jpeg"/>
  <Override PartName="/word/media/rId54.png" ContentType="image/png"/>
  <Override PartName="/word/media/rId83.jpg" ContentType="image/jpeg"/>
  <Override PartName="/word/media/rId89.jpg" ContentType="image/jpeg"/>
  <Override PartName="/word/media/rId38.png" ContentType="image/png"/>
  <Override PartName="/word/media/rId48.png" ContentType="image/png"/>
  <Override PartName="/word/media/rId52.png" ContentType="image/png"/>
  <Override PartName="/word/media/rId93.jpg" ContentType="image/jpeg"/>
  <Override PartName="/word/media/rId66.png" ContentType="image/png"/>
  <Override PartName="/word/media/rId85.jpg" ContentType="image/jpeg"/>
  <Override PartName="/word/media/rId98.png" ContentType="image/png"/>
  <Override PartName="/word/media/rId94.png" ContentType="image/png"/>
  <Override PartName="/word/media/rId80.png" ContentType="image/png"/>
  <Override PartName="/word/media/rId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17" w:name="chapter-7"/>
    <w:p>
      <w:pPr>
        <w:pStyle w:val="Heading1"/>
      </w:pPr>
      <w:r>
        <w:rPr>
          <w:rStyle w:val="SectionNumber"/>
        </w:rPr>
        <w:t xml:space="preserve">1</w:t>
      </w:r>
      <w:r>
        <w:tab/>
      </w:r>
      <w:r>
        <w:t xml:space="preserve">Discussion II: Designing and Pursuing Better Human Data Relations</w:t>
      </w:r>
    </w:p>
    <w:p>
      <w:pPr>
        <w:pStyle w:val="BlockText"/>
      </w:pPr>
      <w:r>
        <w:rPr>
          <w:i/>
        </w:rPr>
        <w:t xml:space="preserve">“</w:t>
      </w:r>
      <w:r>
        <w:rPr>
          <w:i/>
        </w:rPr>
        <w:t xml:space="preserve">Civilizations advance not by the technology they know about, but by the technology they don’t have to know about.</w:t>
      </w:r>
      <w:r>
        <w:rPr>
          <w:i/>
        </w:rPr>
        <w:t xml:space="preserve">”</w:t>
      </w:r>
      <w:r>
        <w:t xml:space="preserve"> </w:t>
      </w:r>
      <w:r>
        <w:t xml:space="preserve">– Anonymous proverb</w:t>
      </w:r>
    </w:p>
    <w:bookmarkStart w:id="26"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return to the overall research question</w:t>
      </w:r>
      <w:r>
        <w:t xml:space="preserve"> </w:t>
      </w:r>
      <w:r>
        <w:rPr>
          <w:i/>
        </w:rPr>
        <w:t xml:space="preserve">“</w:t>
      </w:r>
      <w:r>
        <w:rPr>
          <w:i/>
        </w:rPr>
        <w:t xml:space="preserve">What relationship do people need with their personal data, and how might that be achieved?</w:t>
      </w:r>
      <w:r>
        <w:rPr>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20" w:name="external-research-settings"/>
    <w:p>
      <w:pPr>
        <w:pStyle w:val="Heading3"/>
      </w:pPr>
      <w:r>
        <w:rPr>
          <w:rStyle w:val="SectionNumber"/>
        </w:rPr>
        <w:t xml:space="preserve">1.1.1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0"/>
    <w:bookmarkStart w:id="21"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1"/>
    <w:bookmarkStart w:id="24"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(Brest,</w:t>
      </w:r>
      <w:r>
        <w:t xml:space="preserve"> </w:t>
      </w:r>
      <w:hyperlink w:anchor="ref-brest2010">
        <w:r>
          <w:rPr>
            <w:rStyle w:val="Hyperlink"/>
          </w:rPr>
          <w:t xml:space="preserve">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(Taplin and Clark,</w:t>
      </w:r>
      <w:r>
        <w:t xml:space="preserve"> </w:t>
      </w:r>
      <w:hyperlink w:anchor="ref-taplin2012">
        <w:r>
          <w:rPr>
            <w:rStyle w:val="Hyperlink"/>
          </w:rPr>
          <w:t xml:space="preserve">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(Es, Guijt and Vogel,</w:t>
      </w:r>
      <w:r>
        <w:t xml:space="preserve"> </w:t>
      </w:r>
      <w:hyperlink w:anchor="ref-vanEs2015">
        <w:r>
          <w:rPr>
            <w:rStyle w:val="Hyperlink"/>
          </w:rPr>
          <w:t xml:space="preserve">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1" name="Picture"/>
            <a:graphic>
              <a:graphicData uri="http://schemas.openxmlformats.org/drawingml/2006/picture">
                <pic:pic>
                  <pic:nvPicPr>
                    <pic:cNvPr descr="./src/figs/fig29-dimensions-of-change.png" id="0" name="Picture"/>
                    <pic:cNvPicPr>
                      <a:picLocks noChangeArrowheads="1" noChangeAspect="1"/>
                    </pic:cNvPicPr>
                  </pic:nvPicPr>
                  <pic:blipFill>
                    <a:blip r:embed="rId2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3"/>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
          <w:i/>
        </w:rPr>
        <w:t xml:space="preserve">Internal changes</w:t>
      </w:r>
      <w:r>
        <w:t xml:space="preserve">: changes in thinking, feeling, reasoning, understanding, attitudes or identity.</w:t>
      </w:r>
    </w:p>
    <w:p>
      <w:pPr>
        <w:numPr>
          <w:ilvl w:val="0"/>
          <w:numId w:val="1004"/>
        </w:numPr>
        <w:pStyle w:val="Compact"/>
      </w:pPr>
      <w:r>
        <w:rPr>
          <w:b/>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
          <w:i/>
        </w:rPr>
        <w:t xml:space="preserve">Individual changes</w:t>
      </w:r>
      <w:r>
        <w:t xml:space="preserve">: changes to individual thought or actions</w:t>
      </w:r>
    </w:p>
    <w:p>
      <w:pPr>
        <w:numPr>
          <w:ilvl w:val="0"/>
          <w:numId w:val="1005"/>
        </w:numPr>
        <w:pStyle w:val="Compact"/>
      </w:pPr>
      <w:r>
        <w:rPr>
          <w:b/>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4"/>
    <w:bookmarkStart w:id="25" w:name="Xcce4c16371aac8788da00da0dc3d2ec7b2e508b"/>
    <w:p>
      <w:pPr>
        <w:pStyle w:val="Heading3"/>
      </w:pPr>
      <w:r>
        <w:rPr>
          <w:rStyle w:val="SectionNumber"/>
        </w:rPr>
        <w:t xml:space="preserve">1.1.4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
        </w:rPr>
        <w:t xml:space="preserve">HDR reformers</w:t>
      </w:r>
      <w:r>
        <w:t xml:space="preserve"> </w:t>
      </w:r>
      <w:r>
        <w:t xml:space="preserve">as a shorthand) as a</w:t>
      </w:r>
      <w:r>
        <w:t xml:space="preserve"> </w:t>
      </w:r>
      <w:r>
        <w:rPr>
          <w:i/>
        </w:rPr>
        <w:t xml:space="preserve">recursive public</w:t>
      </w:r>
      <w:r>
        <w:t xml:space="preserve"> </w:t>
      </w:r>
      <w:r>
        <w:t xml:space="preserve">(Kelty,</w:t>
      </w:r>
      <w:r>
        <w:t xml:space="preserve"> </w:t>
      </w:r>
      <w:hyperlink w:anchor="ref-kelty2008">
        <w:r>
          <w:rPr>
            <w:rStyle w:val="Hyperlink"/>
          </w:rPr>
          <w:t xml:space="preserve">2008</w:t>
        </w:r>
      </w:hyperlink>
      <w:r>
        <w:t xml:space="preserve">; ‘Recursive Public (Discussion Page)’,</w:t>
      </w:r>
      <w:r>
        <w:t xml:space="preserve"> </w:t>
      </w:r>
      <w:hyperlink w:anchor="ref-p2pwikiRecursivePublic">
        <w:r>
          <w:rPr>
            <w:rStyle w:val="Hyperlink"/>
          </w:rPr>
          <w:t xml:space="preserve">no date</w:t>
        </w:r>
      </w:hyperlink>
      <w:r>
        <w:t xml:space="preserve">)</w:t>
      </w:r>
      <w:r>
        <w:t xml:space="preserve">, albeit a nascent one. This is a term originating in the free software movement to describe a</w:t>
      </w:r>
      <w:r>
        <w:t xml:space="preserve"> </w:t>
      </w:r>
      <w:r>
        <w:rPr>
          <w:i/>
        </w:rPr>
        <w:t xml:space="preserve">“</w:t>
      </w:r>
      <w:r>
        <w:rPr>
          <w:i/>
        </w:rPr>
        <w:t xml:space="preserve">collective, independent of other forms of constituted power, capable of speaking to existing forms of power through the production of actually existing alternatives</w:t>
      </w:r>
      <w:r>
        <w:rPr>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
        </w:rPr>
        <w:t xml:space="preserve">public</w:t>
      </w:r>
      <w:r>
        <w:t xml:space="preserve"> </w:t>
      </w:r>
      <w:r>
        <w:t xml:space="preserve">(Le Dantec,</w:t>
      </w:r>
      <w:r>
        <w:t xml:space="preserve"> </w:t>
      </w:r>
      <w:hyperlink w:anchor="ref-ledantec2016">
        <w:r>
          <w:rPr>
            <w:rStyle w:val="Hyperlink"/>
          </w:rPr>
          <w:t xml:space="preserve">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and its members, but also research and activism agendas including but not limited to: digital rights</w:t>
      </w:r>
      <w:r>
        <w:t xml:space="preserve"> </w:t>
      </w:r>
      <w:r>
        <w:t xml:space="preserve">(‘Open rights group: Who we are’,</w:t>
      </w:r>
      <w:r>
        <w:t xml:space="preserve"> </w:t>
      </w:r>
      <w:hyperlink w:anchor="ref-openRightsGroup">
        <w:r>
          <w:rPr>
            <w:rStyle w:val="Hyperlink"/>
          </w:rPr>
          <w:t xml:space="preserve">no date</w:t>
        </w:r>
      </w:hyperlink>
      <w:r>
        <w:t xml:space="preserve">)</w:t>
      </w:r>
      <w:r>
        <w:t xml:space="preserve">, gig economy worker rights</w:t>
      </w:r>
      <w:r>
        <w:t xml:space="preserve"> </w:t>
      </w:r>
      <w:r>
        <w:t xml:space="preserve">(Kirven,</w:t>
      </w:r>
      <w:r>
        <w:t xml:space="preserve"> </w:t>
      </w:r>
      <w:hyperlink w:anchor="ref-kirven2018">
        <w:r>
          <w:rPr>
            <w:rStyle w:val="Hyperlink"/>
          </w:rPr>
          <w:t xml:space="preserve">2018</w:t>
        </w:r>
      </w:hyperlink>
      <w:r>
        <w:t xml:space="preserve">)</w:t>
      </w:r>
      <w:r>
        <w:t xml:space="preserve">, privacy by design</w:t>
      </w:r>
      <w:r>
        <w:t xml:space="preserve"> </w:t>
      </w:r>
      <w:r>
        <w:t xml:space="preserve">(Cavoukian,</w:t>
      </w:r>
      <w:r>
        <w:t xml:space="preserve"> </w:t>
      </w:r>
      <w:hyperlink w:anchor="ref-cavoukian2010">
        <w:r>
          <w:rPr>
            <w:rStyle w:val="Hyperlink"/>
          </w:rPr>
          <w:t xml:space="preserve">2010</w:t>
        </w:r>
      </w:hyperlink>
      <w:r>
        <w:t xml:space="preserve">)</w:t>
      </w:r>
      <w:r>
        <w:t xml:space="preserve">, data justice</w:t>
      </w:r>
      <w:r>
        <w:t xml:space="preserve"> </w:t>
      </w:r>
      <w:r>
        <w:t xml:space="preserve">(Taylor,</w:t>
      </w:r>
      <w:r>
        <w:t xml:space="preserve"> </w:t>
      </w:r>
      <w:hyperlink w:anchor="ref-taylor2017">
        <w:r>
          <w:rPr>
            <w:rStyle w:val="Hyperlink"/>
          </w:rPr>
          <w:t xml:space="preserve">2017</w:t>
        </w:r>
      </w:hyperlink>
      <w:r>
        <w:t xml:space="preserve">; 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humane technology</w:t>
      </w:r>
      <w:r>
        <w:t xml:space="preserve"> </w:t>
      </w:r>
      <w:r>
        <w:t xml:space="preserve">(Harris,</w:t>
      </w:r>
      <w:r>
        <w:t xml:space="preserve"> </w:t>
      </w:r>
      <w:hyperlink w:anchor="ref-harris2013">
        <w:r>
          <w:rPr>
            <w:rStyle w:val="Hyperlink"/>
          </w:rPr>
          <w:t xml:space="preserve">2013</w:t>
        </w:r>
      </w:hyperlink>
      <w:r>
        <w:t xml:space="preserve">)</w:t>
      </w:r>
      <w:r>
        <w:t xml:space="preserve"> </w:t>
      </w:r>
      <w:r>
        <w:t xml:space="preserve">and explainable AI</w:t>
      </w:r>
      <w:r>
        <w:t xml:space="preserve"> </w:t>
      </w:r>
      <w:r>
        <w:t xml:space="preserve">(‘Explainable ai: Making machines understandable for humans’,</w:t>
      </w:r>
      <w:r>
        <w:t xml:space="preserve"> </w:t>
      </w:r>
      <w:hyperlink w:anchor="ref-explainableAI">
        <w:r>
          <w:rPr>
            <w:rStyle w:val="Hyperlink"/>
          </w:rPr>
          <w:t xml:space="preserve">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25"/>
    <w:bookmarkEnd w:id="26"/>
    <w:bookmarkStart w:id="36" w:name="X0f1a21919416fdb947a76193d979bbeb722c552"/>
    <w:p>
      <w:pPr>
        <w:pStyle w:val="Heading2"/>
      </w:pPr>
      <w:r>
        <w:rPr>
          <w:rStyle w:val="SectionNumber"/>
        </w:rPr>
        <w:t xml:space="preserve">1.2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
        </w:rPr>
        <w:t xml:space="preserve">visible</w:t>
      </w:r>
      <w:r>
        <w:t xml:space="preserve">,</w:t>
      </w:r>
      <w:r>
        <w:t xml:space="preserve"> </w:t>
      </w:r>
      <w:r>
        <w:rPr>
          <w:b/>
        </w:rPr>
        <w:t xml:space="preserve">understandable</w:t>
      </w:r>
      <w:r>
        <w:t xml:space="preserve"> </w:t>
      </w:r>
      <w:r>
        <w:t xml:space="preserve">and</w:t>
      </w:r>
      <w:r>
        <w:t xml:space="preserve"> </w:t>
      </w:r>
      <w:r>
        <w:rPr>
          <w:b/>
        </w:rPr>
        <w:t xml:space="preserve">usable data</w:t>
      </w:r>
      <w:r>
        <w:t xml:space="preserve">;</w:t>
      </w:r>
      <w:r>
        <w:t xml:space="preserve"> </w:t>
      </w:r>
      <w:r>
        <w:rPr>
          <w:b/>
        </w:rPr>
        <w:t xml:space="preserve">process transparency</w:t>
      </w:r>
      <w:r>
        <w:t xml:space="preserve">,</w:t>
      </w:r>
      <w:r>
        <w:t xml:space="preserve"> </w:t>
      </w:r>
      <w:r>
        <w:rPr>
          <w:b/>
        </w:rPr>
        <w:t xml:space="preserve">individual oversight</w:t>
      </w:r>
      <w:r>
        <w:t xml:space="preserve"> </w:t>
      </w:r>
      <w:r>
        <w:t xml:space="preserve">and</w:t>
      </w:r>
      <w:r>
        <w:t xml:space="preserve"> </w:t>
      </w:r>
      <w:r>
        <w:rPr>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27"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
        </w:rPr>
        <w:t xml:space="preserve">Eight lenses on data</w:t>
      </w:r>
      <w:r>
        <w:t xml:space="preserve">.</w:t>
      </w:r>
    </w:p>
    <w:tbl>
      <w:tblPr>
        <w:tblStyle w:val="Table"/>
        <w:tblW w:type="pct" w:w="5000.0"/>
        <w:tblLook w:firstRow="1" w:lastRow="0" w:firstColumn="0" w:lastColumn="0" w:noHBand="0" w:noVBand="0"/>
        <w:tblCaption w:val="Table 15. Eight lenses on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information about you</w:t>
            </w:r>
          </w:p>
        </w:tc>
        <w:tc>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
        </w:rPr>
        <w:t xml:space="preserve">‘</w:t>
      </w:r>
      <w:r>
        <w:rPr>
          <w:i/>
        </w:rPr>
        <w:t xml:space="preserve">lenses</w:t>
      </w:r>
      <w:r>
        <w:rPr>
          <w:i/>
        </w:rPr>
        <w:t xml:space="preserve">’</w:t>
      </w:r>
      <w:r>
        <w:t xml:space="preserve"> </w:t>
      </w:r>
      <w:r>
        <w:t xml:space="preserve">[</w:t>
      </w:r>
      <w:r>
        <w:t xml:space="preserve">Karger</w:t>
      </w:r>
      <w:r>
        <w:t xml:space="preserve"> </w:t>
      </w:r>
      <w:r>
        <w:rPr>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
        </w:rPr>
        <w:t xml:space="preserve">a means to monitor changes</w:t>
      </w:r>
      <w:r>
        <w:t xml:space="preserve"> </w:t>
      </w:r>
      <w:r>
        <w:t xml:space="preserve">in data holders’ behaviours, digital influences upon you or changes within your life.</w:t>
      </w:r>
    </w:p>
    <w:bookmarkEnd w:id="27"/>
    <w:bookmarkStart w:id="29"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William Jones</w:t>
      </w:r>
      <w:r>
        <w:t xml:space="preserve"> </w:t>
      </w:r>
      <w:r>
        <w:rPr>
          <w:i/>
        </w:rPr>
        <w:t xml:space="preserve">et al.</w:t>
      </w:r>
      <w:r>
        <w:t xml:space="preserve"> </w:t>
      </w:r>
      <w:r>
        <w:t xml:space="preserve">called for a new sub-field of HII in an HCI context</w:t>
      </w:r>
      <w:r>
        <w:rPr>
          <w:rStyle w:val="FootnoteReference"/>
        </w:rPr>
        <w:footnoteReference w:id="28"/>
      </w:r>
      <w:r>
        <w:t xml:space="preserve">, observing that it is important to include a focus on information interaction because HCI can</w:t>
      </w:r>
      <w:r>
        <w:t xml:space="preserve"> </w:t>
      </w:r>
      <w:r>
        <w:rPr>
          <w:i/>
        </w:rPr>
        <w:t xml:space="preserve">“</w:t>
      </w:r>
      <w:r>
        <w:rPr>
          <w:i/>
        </w:rPr>
        <w:t xml:space="preserve">unduly focus attention on the computer when, for most people, the computer is a means to an end – the effective use of information</w:t>
      </w:r>
      <w:r>
        <w:rPr>
          <w:i/>
        </w:rPr>
        <w:t xml:space="preserve">”</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DIKW theory (see 2.1) highlights that</w:t>
      </w:r>
      <w:r>
        <w:t xml:space="preserve"> </w:t>
      </w:r>
      <w:r>
        <w:rPr>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
          <w:i/>
        </w:rPr>
        <w:t xml:space="preserve">information about data</w:t>
      </w:r>
      <w:r>
        <w:t xml:space="preserve"> </w:t>
      </w:r>
      <w:r>
        <w:t xml:space="preserve">(also categorised in Table 9 / 5.3.1 as</w:t>
      </w:r>
      <w:r>
        <w:t xml:space="preserve"> </w:t>
      </w:r>
      <w:r>
        <w:rPr>
          <w:b/>
          <w:i/>
        </w:rPr>
        <w:t xml:space="preserve">metadata</w:t>
      </w:r>
      <w:r>
        <w:t xml:space="preserve">) - stored facts about the data, such as where it has been stored, who has accessed it, how it was collected, what it means, or when it has been shared externally.</w:t>
      </w:r>
    </w:p>
    <w:bookmarkEnd w:id="29"/>
    <w:bookmarkStart w:id="35"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
        </w:rPr>
        <w:t xml:space="preserve">information about one’s</w:t>
      </w:r>
      <w:r>
        <w:rPr>
          <w:i/>
        </w:rPr>
        <w:t xml:space="preserve"> </w:t>
      </w:r>
      <w:r>
        <w:rPr>
          <w:b/>
          <w:i/>
        </w:rPr>
        <w:t xml:space="preserve">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one’s personal data. This is</w:t>
      </w:r>
      <w:r>
        <w:t xml:space="preserve"> </w:t>
      </w:r>
      <w:r>
        <w:rPr>
          <w:b/>
        </w:rPr>
        <w:t xml:space="preserve">Personal Data Ecosystem Control (PDEC)</w:t>
      </w:r>
      <w:r>
        <w:t xml:space="preserve">.</w:t>
      </w:r>
    </w:p>
    <w:p>
      <w:pPr>
        <w:numPr>
          <w:ilvl w:val="0"/>
          <w:numId w:val="1009"/>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w:t>
      </w:r>
      <w:r>
        <w:t xml:space="preserve">and its inherent value as encoded life information, regardless of where it is stored and how it is used</w:t>
      </w:r>
      <w:r>
        <w:rPr>
          <w:rStyle w:val="FootnoteReference"/>
        </w:rPr>
        <w:footnoteReference w:id="30"/>
      </w:r>
      <w:r>
        <w:t xml:space="preserve">. This novel way of modelling the motivations for data interaction were first proposed in my 2021 workshop paper</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1" name="Picture"/>
            <a:graphic>
              <a:graphicData uri="http://schemas.openxmlformats.org/drawingml/2006/picture">
                <pic:pic>
                  <pic:nvPicPr>
                    <pic:cNvPr descr="./src/figs/fig30-the-two-motivations-for-hdr.jpg" id="0" name="Picture"/>
                    <pic:cNvPicPr>
                      <a:picLocks noChangeArrowheads="1" noChangeAspect="1"/>
                    </pic:cNvPicPr>
                  </pic:nvPicPr>
                  <pic:blipFill>
                    <a:blip r:embed="rId31"/>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bookmarkStart w:id="33" w:name="life-information-utilisation"/>
    <w:p>
      <w:pPr>
        <w:pStyle w:val="Heading4"/>
      </w:pPr>
      <w:r>
        <w:rPr>
          <w:rStyle w:val="SectionNumber"/>
        </w:rPr>
        <w:t xml:space="preserve">1.2.3.1</w:t>
      </w:r>
      <w:r>
        <w:tab/>
      </w:r>
      <w:r>
        <w:t xml:space="preserve">Life Information Utilisation</w:t>
      </w:r>
    </w:p>
    <w:p>
      <w:pPr>
        <w:pStyle w:val="FirstParagraph"/>
      </w:pPr>
      <w:r>
        <w:rPr>
          <w:b/>
          <w:i/>
        </w:rPr>
        <w:t xml:space="preserve">Life Information Utilisation</w:t>
      </w:r>
      <w:r>
        <w:t xml:space="preserve"> </w:t>
      </w:r>
      <w:r>
        <w:t xml:space="preserve">is a superset of</w:t>
      </w:r>
      <w:r>
        <w:t xml:space="preserve"> </w:t>
      </w:r>
      <w:r>
        <w:rPr>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
        </w:rPr>
        <w:t xml:space="preserve">data understandability</w:t>
      </w:r>
      <w:r>
        <w:t xml:space="preserve"> </w:t>
      </w:r>
      <w:r>
        <w:t xml:space="preserve">(6.1.2) and</w:t>
      </w:r>
      <w:r>
        <w:t xml:space="preserve"> </w:t>
      </w:r>
      <w:r>
        <w:rPr>
          <w:i/>
        </w:rPr>
        <w:t xml:space="preserve">data useability</w:t>
      </w:r>
      <w:r>
        <w:rPr>
          <w:i/>
        </w:rPr>
        <w:t xml:space="preserve">13</w:t>
      </w:r>
      <w:r>
        <w:t xml:space="preserve"> </w:t>
      </w:r>
      <w:r>
        <w:t xml:space="preserve">(6.1.3),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w:t>
      </w:r>
    </w:p>
    <w:bookmarkEnd w:id="33"/>
    <w:bookmarkStart w:id="34"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w:t>
      </w:r>
      <w:r>
        <w:t xml:space="preserve"> </w:t>
      </w:r>
      <w:r>
        <w:t xml:space="preserve">(2.1.2; Hoffman,</w:t>
      </w:r>
      <w:r>
        <w:t xml:space="preserve"> </w:t>
      </w:r>
      <w:hyperlink w:anchor="ref-wef2014lens">
        <w:r>
          <w:rPr>
            <w:rStyle w:val="Hyperlink"/>
          </w:rPr>
          <w:t xml:space="preserve">2014</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 and these terms will be used below.</w:t>
      </w:r>
    </w:p>
    <w:bookmarkEnd w:id="34"/>
    <w:bookmarkEnd w:id="35"/>
    <w:bookmarkEnd w:id="36"/>
    <w:bookmarkStart w:id="69" w:name="Xf03affe8308b5da9d769dc97dc93abe28028700"/>
    <w:p>
      <w:pPr>
        <w:pStyle w:val="Heading2"/>
      </w:pPr>
      <w:r>
        <w:rPr>
          <w:rStyle w:val="SectionNumber"/>
        </w:rPr>
        <w:t xml:space="preserve">1.3</w:t>
      </w:r>
      <w:r>
        <w:tab/>
      </w:r>
      <w:r>
        <w:t xml:space="preserve">Obstacles to Better Human Data Relations and Resulting Insights</w:t>
      </w:r>
    </w:p>
    <w:p>
      <w:pPr>
        <w:pStyle w:val="FirstParagraph"/>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10"/>
        </w:numPr>
        <w:pStyle w:val="Compact"/>
      </w:pPr>
      <w:r>
        <w:t xml:space="preserve">7.3.1: Obstacles to Data Awareness &amp; Understanding</w:t>
      </w:r>
    </w:p>
    <w:p>
      <w:pPr>
        <w:numPr>
          <w:ilvl w:val="0"/>
          <w:numId w:val="1010"/>
        </w:numPr>
        <w:pStyle w:val="Compact"/>
      </w:pPr>
      <w:r>
        <w:t xml:space="preserve">7.3.2: Obstacles to Data Useability</w:t>
      </w:r>
    </w:p>
    <w:p>
      <w:pPr>
        <w:numPr>
          <w:ilvl w:val="0"/>
          <w:numId w:val="1010"/>
        </w:numPr>
        <w:pStyle w:val="Compact"/>
      </w:pPr>
      <w:r>
        <w:t xml:space="preserve">7.3.3: Obstacles to Ecosystem Transparency (including visible data &amp; transparent processes)</w:t>
      </w:r>
    </w:p>
    <w:p>
      <w:pPr>
        <w:numPr>
          <w:ilvl w:val="0"/>
          <w:numId w:val="1010"/>
        </w:numPr>
        <w:pStyle w:val="Compact"/>
      </w:pPr>
      <w:r>
        <w:t xml:space="preserve">7.3.4: Obstacles Ecosystem Negotiability (encompassing individual oversight and involvement) decision-making)</w:t>
      </w:r>
    </w:p>
    <w:p>
      <w:pPr>
        <w:numPr>
          <w:ilvl w:val="0"/>
          <w:numId w:val="1010"/>
        </w:numPr>
        <w:pStyle w:val="Compact"/>
      </w:pPr>
      <w:r>
        <w:t xml:space="preserve">7.3.5: General Human Challenges</w:t>
      </w:r>
    </w:p>
    <w:p>
      <w:pPr>
        <w:numPr>
          <w:ilvl w:val="0"/>
          <w:numId w:val="1010"/>
        </w:numPr>
        <w:pStyle w:val="Compact"/>
      </w:pPr>
      <w:r>
        <w:t xml:space="preserve">7.3.6: General Technical Challenges</w:t>
      </w:r>
    </w:p>
    <w:p>
      <w:pPr>
        <w:pStyle w:val="FirstParagraph"/>
      </w:pPr>
      <w:r>
        <w:t xml:space="preserve">[Figure X Obstacles overview (and their relation back to Wants)]</w:t>
      </w:r>
    </w:p>
    <w:bookmarkStart w:id="42" w:name="data-awareness-understanding"/>
    <w:p>
      <w:pPr>
        <w:pStyle w:val="Heading3"/>
      </w:pPr>
      <w:r>
        <w:rPr>
          <w:rStyle w:val="SectionNumber"/>
        </w:rPr>
        <w:t xml:space="preserve">1.3.1</w:t>
      </w:r>
      <w:r>
        <w:tab/>
      </w:r>
      <w:r>
        <w:t xml:space="preserve">Data Awareness &amp; Understanding</w:t>
      </w:r>
    </w:p>
    <w:bookmarkStart w:id="37" w:name="obstacle-1-data-legibility"/>
    <w:p>
      <w:pPr>
        <w:pStyle w:val="Heading4"/>
      </w:pPr>
      <w:r>
        <w:rPr>
          <w:rStyle w:val="SectionNumber"/>
        </w:rPr>
        <w:t xml:space="preserve">1.3.1.1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37"/>
    <w:bookmarkStart w:id="39" w:name="X2495ea037d695f1f04017d9f003a480fdc2d2e4"/>
    <w:p>
      <w:pPr>
        <w:pStyle w:val="Heading4"/>
      </w:pPr>
      <w:r>
        <w:rPr>
          <w:rStyle w:val="SectionNumber"/>
        </w:rPr>
        <w:t xml:space="preserve">1.3.1.2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1" name="Picture"/>
            <a:graphic>
              <a:graphicData uri="http://schemas.openxmlformats.org/drawingml/2006/picture">
                <pic:pic>
                  <pic:nvPicPr>
                    <pic:cNvPr descr="./src/figs/figX-life-concepts.png" id="0" name="Picture"/>
                    <pic:cNvPicPr>
                      <a:picLocks noChangeArrowheads="1" noChangeAspect="1"/>
                    </pic:cNvPicPr>
                  </pic:nvPicPr>
                  <pic:blipFill>
                    <a:blip r:embed="rId38"/>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39"/>
    <w:bookmarkStart w:id="40" w:name="obstacle-2-the-personal-data-diaspora"/>
    <w:p>
      <w:pPr>
        <w:pStyle w:val="Heading4"/>
      </w:pPr>
      <w:r>
        <w:rPr>
          <w:rStyle w:val="SectionNumber"/>
        </w:rPr>
        <w:t xml:space="preserve">1.3.1.3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40"/>
    <w:bookmarkStart w:id="41" w:name="Xbfc76f4d2b6c98cf8ce25eefd15d5dfcbeab17e"/>
    <w:p>
      <w:pPr>
        <w:pStyle w:val="Heading4"/>
      </w:pPr>
      <w:r>
        <w:rPr>
          <w:rStyle w:val="SectionNumber"/>
        </w:rPr>
        <w:t xml:space="preserve">1.3.1.4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41"/>
    <w:bookmarkEnd w:id="42"/>
    <w:bookmarkStart w:id="46" w:name="data-useability"/>
    <w:p>
      <w:pPr>
        <w:pStyle w:val="Heading3"/>
      </w:pPr>
      <w:r>
        <w:rPr>
          <w:rStyle w:val="SectionNumber"/>
        </w:rPr>
        <w:t xml:space="preserve">1.3.2</w:t>
      </w:r>
      <w:r>
        <w:tab/>
      </w:r>
      <w:r>
        <w:t xml:space="preserve">Data Useability</w:t>
      </w:r>
    </w:p>
    <w:bookmarkStart w:id="43" w:name="obstacle-3-data-isnt-free"/>
    <w:p>
      <w:pPr>
        <w:pStyle w:val="Heading4"/>
      </w:pPr>
      <w:r>
        <w:rPr>
          <w:rStyle w:val="SectionNumber"/>
        </w:rPr>
        <w:t xml:space="preserve">1.3.2.1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43"/>
    <w:bookmarkStart w:id="44" w:name="X6113931c940d6bf78cedd8d29e2e65f18621217"/>
    <w:p>
      <w:pPr>
        <w:pStyle w:val="Heading4"/>
      </w:pPr>
      <w:r>
        <w:rPr>
          <w:rStyle w:val="SectionNumber"/>
        </w:rPr>
        <w:t xml:space="preserve">1.3.2.2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44"/>
    <w:bookmarkStart w:id="45" w:name="Xa9328ee6bf36a815f032fb93f6015ac7c68a065"/>
    <w:p>
      <w:pPr>
        <w:pStyle w:val="Heading4"/>
      </w:pPr>
      <w:r>
        <w:rPr>
          <w:rStyle w:val="SectionNumber"/>
        </w:rPr>
        <w:t xml:space="preserve">1.3.2.3</w:t>
      </w:r>
      <w:r>
        <w:tab/>
      </w:r>
      <w:r>
        <w:t xml:space="preserve">Insight 3: Life Information &amp; Ecosystem Information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45"/>
    <w:bookmarkEnd w:id="46"/>
    <w:bookmarkStart w:id="51" w:name="ecosystem-transparency"/>
    <w:p>
      <w:pPr>
        <w:pStyle w:val="Heading3"/>
      </w:pPr>
      <w:r>
        <w:rPr>
          <w:rStyle w:val="SectionNumber"/>
        </w:rPr>
        <w:t xml:space="preserve">1.3.3</w:t>
      </w:r>
      <w:r>
        <w:tab/>
      </w:r>
      <w:r>
        <w:t xml:space="preserve">Ecosystem transparency</w:t>
      </w:r>
    </w:p>
    <w:bookmarkStart w:id="47" w:name="X1e4de69c08f1f8c9eb897f1175e142c663079ba"/>
    <w:p>
      <w:pPr>
        <w:pStyle w:val="Heading4"/>
      </w:pPr>
      <w:r>
        <w:rPr>
          <w:rStyle w:val="SectionNumber"/>
        </w:rPr>
        <w:t xml:space="preserve">1.3.3.1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47"/>
    <w:bookmarkStart w:id="49" w:name="obstacle-6-a-lack-of-metadata"/>
    <w:p>
      <w:pPr>
        <w:pStyle w:val="Heading4"/>
      </w:pPr>
      <w:r>
        <w:rPr>
          <w:rStyle w:val="SectionNumber"/>
        </w:rPr>
        <w:t xml:space="preserve">1.3.3.2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1" name="Picture"/>
            <a:graphic>
              <a:graphicData uri="http://schemas.openxmlformats.org/drawingml/2006/picture">
                <pic:pic>
                  <pic:nvPicPr>
                    <pic:cNvPr descr="./src/figs/figX-metadata.png" id="0" name="Picture"/>
                    <pic:cNvPicPr>
                      <a:picLocks noChangeArrowheads="1" noChangeAspect="1"/>
                    </pic:cNvPicPr>
                  </pic:nvPicPr>
                  <pic:blipFill>
                    <a:blip r:embed="rId48"/>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49"/>
    <w:bookmarkStart w:id="50" w:name="insight-4-data-with-provenance"/>
    <w:p>
      <w:pPr>
        <w:pStyle w:val="Heading4"/>
      </w:pPr>
      <w:r>
        <w:rPr>
          <w:rStyle w:val="SectionNumber"/>
        </w:rPr>
        <w:t xml:space="preserve">1.3.3.3</w:t>
      </w:r>
      <w:r>
        <w:tab/>
      </w:r>
      <w:r>
        <w:t xml:space="preserve">Insight 4: Data with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(Freeman and Gelernter,</w:t>
      </w:r>
      <w:r>
        <w:t xml:space="preserve"> </w:t>
      </w:r>
      <w:hyperlink w:anchor="ref-freeman1996">
        <w:r>
          <w:rPr>
            <w:rStyle w:val="Hyperlink"/>
          </w:rPr>
          <w:t xml:space="preserve">1996</w:t>
        </w:r>
      </w:hyperlink>
      <w:r>
        <w:t xml:space="preserve">)</w:t>
      </w:r>
      <w:r>
        <w:t xml:space="preserve"> </w:t>
      </w:r>
      <w:r>
        <w:t xml:space="preserve">to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50"/>
    <w:bookmarkEnd w:id="51"/>
    <w:bookmarkStart w:id="59" w:name="ecosystem-negotiability"/>
    <w:p>
      <w:pPr>
        <w:pStyle w:val="Heading3"/>
      </w:pPr>
      <w:r>
        <w:rPr>
          <w:rStyle w:val="SectionNumber"/>
        </w:rPr>
        <w:t xml:space="preserve">1.3.4</w:t>
      </w:r>
      <w:r>
        <w:tab/>
      </w:r>
      <w:r>
        <w:t xml:space="preserve">Ecosystem negotiability</w:t>
      </w:r>
    </w:p>
    <w:bookmarkStart w:id="53" w:name="X6a77fd30f3949c2ca4c340dda8495c8d49ca5e5"/>
    <w:p>
      <w:pPr>
        <w:pStyle w:val="Heading4"/>
      </w:pPr>
      <w:r>
        <w:rPr>
          <w:rStyle w:val="SectionNumber"/>
        </w:rPr>
        <w:t xml:space="preserve">1.3.4.1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
        </w:rPr>
        <w:t xml:space="preserve">et al.</w:t>
      </w:r>
      <w:r>
        <w:t xml:space="preserve">’s detailed metatriangulation review of types of power that affect technology systems</w:t>
      </w:r>
      <w:r>
        <w:t xml:space="preserve"> </w:t>
      </w:r>
      <w:r>
        <w:t xml:space="preserve">(Jasperson</w:t>
      </w:r>
      <w:r>
        <w:t xml:space="preserve"> </w:t>
      </w:r>
      <w:r>
        <w:rPr>
          <w:i/>
        </w:rPr>
        <w:t xml:space="preserve">et al.</w:t>
      </w:r>
      <w:r>
        <w:t xml:space="preserve">,</w:t>
      </w:r>
      <w:r>
        <w:t xml:space="preserve"> </w:t>
      </w:r>
      <w:hyperlink w:anchor="ref-jasperson2002">
        <w:r>
          <w:rPr>
            <w:rStyle w:val="Hyperlink"/>
          </w:rPr>
          <w:t xml:space="preserve">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1" name="Picture"/>
            <a:graphic>
              <a:graphicData uri="http://schemas.openxmlformats.org/drawingml/2006/picture">
                <pic:pic>
                  <pic:nvPicPr>
                    <pic:cNvPr descr="./src/figs/figX-panopticon.png" id="0" name="Picture"/>
                    <pic:cNvPicPr>
                      <a:picLocks noChangeArrowheads="1" noChangeAspect="1"/>
                    </pic:cNvPicPr>
                  </pic:nvPicPr>
                  <pic:blipFill>
                    <a:blip r:embed="rId52"/>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(Foucault,</w:t>
      </w:r>
      <w:r>
        <w:t xml:space="preserve"> </w:t>
      </w:r>
      <w:hyperlink w:anchor="ref-foucault1975">
        <w:r>
          <w:rPr>
            <w:rStyle w:val="Hyperlink"/>
          </w:rPr>
          <w:t xml:space="preserve">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53"/>
    <w:bookmarkStart w:id="55" w:name="insight-5-the-four-levers-of-power"/>
    <w:p>
      <w:pPr>
        <w:pStyle w:val="Heading4"/>
      </w:pPr>
      <w:r>
        <w:rPr>
          <w:rStyle w:val="SectionNumber"/>
        </w:rPr>
        <w:t xml:space="preserve">1.3.4.2</w:t>
      </w:r>
      <w:r>
        <w:tab/>
      </w:r>
      <w:r>
        <w:t xml:space="preserve">Insight 5: The Four Levers of Power</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CaptionedFigure"/>
      </w:pPr>
      <w:r>
        <w:drawing>
          <wp:inline>
            <wp:extent cx="5334000" cy="2938712"/>
            <wp:effectExtent b="0" l="0" r="0" t="0"/>
            <wp:docPr descr="Figure X: The Four Levers of Infrastructural Power" title="" id="1" name="Picture"/>
            <a:graphic>
              <a:graphicData uri="http://schemas.openxmlformats.org/drawingml/2006/picture">
                <pic:pic>
                  <pic:nvPicPr>
                    <pic:cNvPr descr="./src/figs/figX-four-levers-of-power.png" id="0" name="Picture"/>
                    <pic:cNvPicPr>
                      <a:picLocks noChangeArrowheads="1" noChangeAspect="1"/>
                    </pic:cNvPicPr>
                  </pic:nvPicPr>
                  <pic:blipFill>
                    <a:blip r:embed="rId54"/>
                    <a:stretch>
                      <a:fillRect/>
                    </a:stretch>
                  </pic:blipFill>
                  <pic:spPr bwMode="auto">
                    <a:xfrm>
                      <a:off x="0" y="0"/>
                      <a:ext cx="5334000" cy="2938712"/>
                    </a:xfrm>
                    <a:prstGeom prst="rect">
                      <a:avLst/>
                    </a:prstGeom>
                    <a:noFill/>
                    <a:ln w="9525">
                      <a:noFill/>
                      <a:headEnd/>
                      <a:tailEnd/>
                    </a:ln>
                  </pic:spPr>
                </pic:pic>
              </a:graphicData>
            </a:graphic>
          </wp:inline>
        </w:drawing>
      </w:r>
    </w:p>
    <w:p>
      <w:pPr>
        <w:pStyle w:val="ImageCaption"/>
      </w:pPr>
      <w:r>
        <w:t xml:space="preserve">Figure X: The Four Levers of Infrastructural Power</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55"/>
    <w:bookmarkStart w:id="56" w:name="X2daef0330f42ad668f795de01e6aa4f2c682336"/>
    <w:p>
      <w:pPr>
        <w:pStyle w:val="Heading4"/>
      </w:pPr>
      <w:r>
        <w:rPr>
          <w:rStyle w:val="SectionNumber"/>
        </w:rPr>
        <w:t xml:space="preserve">1.3.4.3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
        </w:rPr>
        <w:t xml:space="preserve">‘</w:t>
      </w:r>
      <w:r>
        <w:rPr>
          <w:i/>
        </w:rPr>
        <w:t xml:space="preserve">pathetic dots</w:t>
      </w:r>
      <w:r>
        <w:rPr>
          <w:i/>
        </w:rPr>
        <w:t xml:space="preserve">’</w:t>
      </w:r>
      <w:r>
        <w:t xml:space="preserve"> </w:t>
      </w:r>
      <w:r>
        <w:t xml:space="preserve">[ADD REF]. Thus service providers continue to build</w:t>
      </w:r>
      <w:r>
        <w:t xml:space="preserve"> </w:t>
      </w:r>
      <w:r>
        <w:rPr>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56"/>
    <w:bookmarkStart w:id="57" w:name="X4f65f0471cd171ad8c5743888c81514f52586f6"/>
    <w:p>
      <w:pPr>
        <w:pStyle w:val="Heading4"/>
      </w:pPr>
      <w:r>
        <w:rPr>
          <w:rStyle w:val="SectionNumber"/>
        </w:rPr>
        <w:t xml:space="preserve">1.3.4.4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57"/>
    <w:bookmarkStart w:id="58" w:name="obstacle-10-the-inaccessible-data-self"/>
    <w:p>
      <w:pPr>
        <w:pStyle w:val="Heading4"/>
      </w:pPr>
      <w:r>
        <w:rPr>
          <w:rStyle w:val="SectionNumber"/>
        </w:rPr>
        <w:t xml:space="preserve">1.3.4.5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58"/>
    <w:bookmarkEnd w:id="59"/>
    <w:bookmarkStart w:id="63" w:name="general-human-challenges"/>
    <w:p>
      <w:pPr>
        <w:pStyle w:val="Heading3"/>
      </w:pPr>
      <w:r>
        <w:rPr>
          <w:rStyle w:val="SectionNumber"/>
        </w:rPr>
        <w:t xml:space="preserve">1.3.5</w:t>
      </w:r>
      <w:r>
        <w:tab/>
      </w:r>
      <w:r>
        <w:t xml:space="preserve">General Human Challenges</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60" w:name="Xa60cdbc9bd02646cb9661aa6ea0caf995b19681"/>
    <w:p>
      <w:pPr>
        <w:pStyle w:val="Heading4"/>
      </w:pPr>
      <w:r>
        <w:rPr>
          <w:rStyle w:val="SectionNumber"/>
        </w:rPr>
        <w:t xml:space="preserve">1.3.5.1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60"/>
    <w:bookmarkStart w:id="62" w:name="Xa7ad698bc6c3d405b1f1bb431ced6a7c20eb51f"/>
    <w:p>
      <w:pPr>
        <w:pStyle w:val="Heading4"/>
      </w:pPr>
      <w:r>
        <w:rPr>
          <w:rStyle w:val="SectionNumber"/>
        </w:rPr>
        <w:t xml:space="preserve">1.3.5.2</w:t>
      </w:r>
      <w:r>
        <w:tab/>
      </w:r>
      <w:r>
        <w:t xml:space="preserve">Insight 7: New Life Capabilities; Always Serve a Need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1" name="Picture"/>
            <a:graphic>
              <a:graphicData uri="http://schemas.openxmlformats.org/drawingml/2006/picture">
                <pic:pic>
                  <pic:nvPicPr>
                    <pic:cNvPr descr="./src/figs/figX-vacation.png" id="0" name="Picture"/>
                    <pic:cNvPicPr>
                      <a:picLocks noChangeArrowheads="1" noChangeAspect="1"/>
                    </pic:cNvPicPr>
                  </pic:nvPicPr>
                  <pic:blipFill>
                    <a:blip r:embed="rId61"/>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(Bowyer,</w:t>
      </w:r>
      <w:r>
        <w:t xml:space="preserve"> </w:t>
      </w:r>
      <w:hyperlink w:anchor="ref-bowyer2011">
        <w:r>
          <w:rPr>
            <w:rStyle w:val="Hyperlink"/>
          </w:rPr>
          <w:t xml:space="preserve">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
        </w:rPr>
        <w:t xml:space="preserve">new</w:t>
      </w:r>
      <w:r>
        <w:t xml:space="preserve"> </w:t>
      </w:r>
      <w:r>
        <w:t xml:space="preserve">things that they could not do before. This has been identified as a key ingredient of user empowerment</w:t>
      </w:r>
      <w:r>
        <w:t xml:space="preserve"> </w:t>
      </w:r>
      <w:r>
        <w:t xml:space="preserve">(Meschtscherjakov, Wilfinger and Tscheligi,</w:t>
      </w:r>
      <w:r>
        <w:t xml:space="preserve"> </w:t>
      </w:r>
      <w:hyperlink w:anchor="ref-meschtscherjakov2014">
        <w:r>
          <w:rPr>
            <w:rStyle w:val="Hyperlink"/>
          </w:rPr>
          <w:t xml:space="preserve">2014</w:t>
        </w:r>
      </w:hyperlink>
      <w:r>
        <w:t xml:space="preserve">; Schneider</w:t>
      </w:r>
      <w:r>
        <w:t xml:space="preserve"> </w:t>
      </w:r>
      <w:r>
        <w:rPr>
          <w:i/>
        </w:rPr>
        <w:t xml:space="preserve">et al.</w:t>
      </w:r>
      <w:r>
        <w:t xml:space="preserve">,</w:t>
      </w:r>
      <w:r>
        <w:t xml:space="preserve"> </w:t>
      </w:r>
      <w:hyperlink w:anchor="ref-schneider2018">
        <w:r>
          <w:rPr>
            <w:rStyle w:val="Hyperlink"/>
          </w:rPr>
          <w:t xml:space="preserve">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62"/>
    <w:bookmarkEnd w:id="63"/>
    <w:bookmarkStart w:id="68" w:name="general-technical-challenges"/>
    <w:p>
      <w:pPr>
        <w:pStyle w:val="Heading3"/>
      </w:pPr>
      <w:r>
        <w:rPr>
          <w:rStyle w:val="SectionNumber"/>
        </w:rPr>
        <w:t xml:space="preserve">1.3.6</w:t>
      </w:r>
      <w:r>
        <w:tab/>
      </w:r>
      <w:r>
        <w:t xml:space="preserve">General Technical challenges</w:t>
      </w:r>
    </w:p>
    <w:bookmarkStart w:id="64" w:name="obstacle-12-a-lack-of-interoperability"/>
    <w:p>
      <w:pPr>
        <w:pStyle w:val="Heading4"/>
      </w:pPr>
      <w:r>
        <w:rPr>
          <w:rStyle w:val="SectionNumber"/>
        </w:rPr>
        <w:t xml:space="preserve">1.3.6.1</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64"/>
    <w:bookmarkStart w:id="65" w:name="Xa4c7316d3b72f5d89be274717063e859eea9442"/>
    <w:p>
      <w:pPr>
        <w:pStyle w:val="Heading4"/>
      </w:pPr>
      <w:r>
        <w:rPr>
          <w:rStyle w:val="SectionNumber"/>
        </w:rPr>
        <w:t xml:space="preserve">1.3.6.2</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65"/>
    <w:bookmarkStart w:id="67" w:name="X141ffbfb40e6a22d2845082e4bc50d7fcbf2c91"/>
    <w:p>
      <w:pPr>
        <w:pStyle w:val="Heading4"/>
      </w:pPr>
      <w:r>
        <w:rPr>
          <w:rStyle w:val="SectionNumber"/>
        </w:rPr>
        <w:t xml:space="preserve">1.3.6.3</w:t>
      </w:r>
      <w:r>
        <w:tab/>
      </w:r>
      <w:r>
        <w:t xml:space="preserve">Insight 9: The Power of Semantic Analysis and Information Standards</w:t>
      </w:r>
    </w:p>
    <w:p>
      <w:pPr>
        <w:pStyle w:val="CaptionedFigure"/>
      </w:pPr>
      <w:r>
        <w:drawing>
          <wp:inline>
            <wp:extent cx="5334000" cy="3061990"/>
            <wp:effectExtent b="0" l="0" r="0" t="0"/>
            <wp:docPr descr="Figure X: Annotating Data with Semantic Context" title="" id="1" name="Picture"/>
            <a:graphic>
              <a:graphicData uri="http://schemas.openxmlformats.org/drawingml/2006/picture">
                <pic:pic>
                  <pic:nvPicPr>
                    <pic:cNvPr descr="./src/figs/figX-semantic-annotation.png" id="0" name="Picture"/>
                    <pic:cNvPicPr>
                      <a:picLocks noChangeArrowheads="1" noChangeAspect="1"/>
                    </pic:cNvPicPr>
                  </pic:nvPicPr>
                  <pic:blipFill>
                    <a:blip r:embed="rId66"/>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(Berners-Lee, Hendler and Lassila,</w:t>
      </w:r>
      <w:r>
        <w:t xml:space="preserve"> </w:t>
      </w:r>
      <w:hyperlink w:anchor="ref-bernersLee2001">
        <w:r>
          <w:rPr>
            <w:rStyle w:val="Hyperlink"/>
          </w:rPr>
          <w:t xml:space="preserve">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(Bowyer,</w:t>
      </w:r>
      <w:r>
        <w:t xml:space="preserve"> </w:t>
      </w:r>
      <w:hyperlink w:anchor="ref-bowyer2011">
        <w:r>
          <w:rPr>
            <w:rStyle w:val="Hyperlink"/>
          </w:rPr>
          <w:t xml:space="preserve">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67"/>
    <w:bookmarkEnd w:id="68"/>
    <w:bookmarkEnd w:id="69"/>
    <w:bookmarkStart w:id="115" w:name="X1a7e511717c200d656f7c4724667d0dda42bf14"/>
    <w:p>
      <w:pPr>
        <w:pStyle w:val="Heading2"/>
      </w:pPr>
      <w:r>
        <w:rPr>
          <w:rStyle w:val="SectionNumber"/>
        </w:rPr>
        <w:t xml:space="preserve">1.4</w:t>
      </w:r>
      <w:r>
        <w:tab/>
      </w:r>
      <w:r>
        <w:t xml:space="preserve">Working in the present to build the future: Current Work &amp; Future Opportunities</w:t>
      </w:r>
    </w:p>
    <w:p>
      <w:pPr>
        <w:pStyle w:val="CaptionedFigure"/>
      </w:pPr>
      <w:r>
        <w:drawing>
          <wp:inline>
            <wp:extent cx="5334000" cy="2917709"/>
            <wp:effectExtent b="0" l="0" r="0" t="0"/>
            <wp:docPr descr="Figure X: ToC chart showing Trajectories of Change for improving Human Data Relations" title="" id="1" name="Picture"/>
            <a:graphic>
              <a:graphicData uri="http://schemas.openxmlformats.org/drawingml/2006/picture">
                <pic:pic>
                  <pic:nvPicPr>
                    <pic:cNvPr descr="./src/figs/figX-change-trajectories.jpg" id="0" name="Picture"/>
                    <pic:cNvPicPr>
                      <a:picLocks noChangeArrowheads="1" noChangeAspect="1"/>
                    </pic:cNvPicPr>
                  </pic:nvPicPr>
                  <pic:blipFill>
                    <a:blip r:embed="rId70"/>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11"/>
        </w:numPr>
        <w:pStyle w:val="Compact"/>
      </w:pPr>
      <w:r>
        <w:rPr>
          <w:b/>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1"/>
        </w:numPr>
        <w:pStyle w:val="Compact"/>
      </w:pPr>
      <w:r>
        <w:rPr>
          <w:b/>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12"/>
        </w:numPr>
        <w:pStyle w:val="Compact"/>
      </w:pPr>
      <w:r>
        <w:t xml:space="preserve">Defend the Status Quo and Push for Compliance</w:t>
      </w:r>
    </w:p>
    <w:p>
      <w:pPr>
        <w:numPr>
          <w:ilvl w:val="1"/>
          <w:numId w:val="1012"/>
        </w:numPr>
        <w:pStyle w:val="Compact"/>
      </w:pPr>
      <w:r>
        <w:t xml:space="preserve">Create New Structures and Systems</w:t>
      </w:r>
    </w:p>
    <w:p>
      <w:pPr>
        <w:numPr>
          <w:ilvl w:val="1"/>
          <w:numId w:val="1012"/>
        </w:numPr>
        <w:pStyle w:val="Compact"/>
      </w:pPr>
      <w:r>
        <w:t xml:space="preserve">Create New Information Interfaces</w:t>
      </w:r>
    </w:p>
    <w:p>
      <w:pPr>
        <w:numPr>
          <w:ilvl w:val="1"/>
          <w:numId w:val="1012"/>
        </w:numPr>
        <w:pStyle w:val="Compact"/>
      </w:pPr>
      <w:r>
        <w:t xml:space="preserve">Create New Capabilities</w:t>
      </w:r>
    </w:p>
    <w:p>
      <w:pPr>
        <w:numPr>
          <w:ilvl w:val="0"/>
          <w:numId w:val="1011"/>
        </w:numPr>
        <w:pStyle w:val="Compact"/>
      </w:pPr>
      <w:r>
        <w:rPr>
          <w:b/>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1"/>
        </w:numPr>
        <w:pStyle w:val="Compact"/>
      </w:pPr>
      <w:r>
        <w:rPr>
          <w:b/>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74" w:name="learn-discover"/>
    <w:p>
      <w:pPr>
        <w:pStyle w:val="Heading3"/>
      </w:pPr>
      <w:r>
        <w:rPr>
          <w:rStyle w:val="SectionNumber"/>
        </w:rPr>
        <w:t xml:space="preserve">1.4.1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71" w:name="opportunity-1-auditing-data-holders"/>
    <w:p>
      <w:pPr>
        <w:pStyle w:val="Heading4"/>
      </w:pPr>
      <w:r>
        <w:rPr>
          <w:rStyle w:val="SectionNumber"/>
        </w:rPr>
        <w:t xml:space="preserve">1.4.1.1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71"/>
    <w:bookmarkStart w:id="72" w:name="opportunity-2-collective-investigation"/>
    <w:p>
      <w:pPr>
        <w:pStyle w:val="Heading4"/>
      </w:pPr>
      <w:r>
        <w:rPr>
          <w:rStyle w:val="SectionNumber"/>
        </w:rPr>
        <w:t xml:space="preserve">1.4.1.2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72"/>
    <w:bookmarkStart w:id="73" w:name="Xe3b4a253fd6685651c3addac967b8cfb7c7448f"/>
    <w:p>
      <w:pPr>
        <w:pStyle w:val="Heading4"/>
      </w:pPr>
      <w:r>
        <w:rPr>
          <w:rStyle w:val="SectionNumber"/>
        </w:rPr>
        <w:t xml:space="preserve">1.4.1.3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73"/>
    <w:bookmarkEnd w:id="74"/>
    <w:bookmarkStart w:id="78" w:name="X499dee4282dc06a895070825c99490a16cb6729"/>
    <w:p>
      <w:pPr>
        <w:pStyle w:val="Heading3"/>
      </w:pPr>
      <w:r>
        <w:rPr>
          <w:rStyle w:val="SectionNumber"/>
        </w:rPr>
        <w:t xml:space="preserve">1.4.2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76" w:name="Xd700120696b4e6aa06dd39dd635c16be07d6d5d"/>
    <w:p>
      <w:pPr>
        <w:pStyle w:val="Heading4"/>
      </w:pPr>
      <w:r>
        <w:rPr>
          <w:rStyle w:val="SectionNumber"/>
        </w:rPr>
        <w:t xml:space="preserve">1.4.2.1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1" name="Picture"/>
            <a:graphic>
              <a:graphicData uri="http://schemas.openxmlformats.org/drawingml/2006/picture">
                <pic:pic>
                  <pic:nvPicPr>
                    <pic:cNvPr descr="./src/figs/figX-black-box.png" id="0" name="Picture"/>
                    <pic:cNvPicPr>
                      <a:picLocks noChangeArrowheads="1" noChangeAspect="1"/>
                    </pic:cNvPicPr>
                  </pic:nvPicPr>
                  <pic:blipFill>
                    <a:blip r:embed="rId75"/>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
        </w:rPr>
        <w:t xml:space="preserve">“</w:t>
      </w:r>
      <w:r>
        <w:rPr>
          <w:i/>
        </w:rPr>
        <w:t xml:space="preserve">Magical design prioritises pleasing and surprising a passive user who can only use the solution as authorised</w:t>
      </w:r>
      <w:r>
        <w:rPr>
          <w:i/>
        </w:rPr>
        <w:t xml:space="preserve">”</w:t>
      </w:r>
      <w:r>
        <w:t xml:space="preserve"> </w:t>
      </w:r>
      <w:r>
        <w:t xml:space="preserve">– Cristiano Storni</w:t>
      </w:r>
      <w:r>
        <w:t xml:space="preserve"> </w:t>
      </w:r>
      <w:r>
        <w:t xml:space="preserve">(Storni,</w:t>
      </w:r>
      <w:r>
        <w:t xml:space="preserve"> </w:t>
      </w:r>
      <w:hyperlink w:anchor="ref-storni2014">
        <w:r>
          <w:rPr>
            <w:rStyle w:val="Hyperlink"/>
          </w:rPr>
          <w:t xml:space="preserve">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76"/>
    <w:bookmarkStart w:id="77" w:name="opportunity-5-collective-activism"/>
    <w:p>
      <w:pPr>
        <w:pStyle w:val="Heading4"/>
      </w:pPr>
      <w:r>
        <w:rPr>
          <w:rStyle w:val="SectionNumber"/>
        </w:rPr>
        <w:t xml:space="preserve">1.4.2.2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w:t>
      </w:r>
      <w:r>
        <w:t xml:space="preserve"> </w:t>
      </w:r>
      <w:hyperlink w:anchor="ref-mahieu2018">
        <w:r>
          <w:rPr>
            <w:rStyle w:val="Hyperlink"/>
          </w:rPr>
          <w:t xml:space="preserve">2018</w:t>
        </w:r>
      </w:hyperlink>
      <w:r>
        <w:t xml:space="preserve">; mahieu2020a; Mahieu and Ausloos,</w:t>
      </w:r>
      <w:r>
        <w:t xml:space="preserve"> </w:t>
      </w:r>
      <w:hyperlink w:anchor="ref-mahieu2020b">
        <w:r>
          <w:rPr>
            <w:rStyle w:val="Hyperlink"/>
          </w:rPr>
          <w:t xml:space="preserve">2020</w:t>
        </w:r>
      </w:hyperlink>
      <w:r>
        <w:t xml:space="preserve">)</w:t>
      </w:r>
      <w:r>
        <w:t xml:space="preserve"> </w:t>
      </w:r>
      <w:r>
        <w:t xml:space="preserve">[mention pooldata, data unions]</w:t>
      </w:r>
    </w:p>
    <w:bookmarkEnd w:id="77"/>
    <w:bookmarkEnd w:id="78"/>
    <w:bookmarkStart w:id="92" w:name="create-new-structures-and-systems"/>
    <w:p>
      <w:pPr>
        <w:pStyle w:val="Heading3"/>
      </w:pPr>
      <w:r>
        <w:rPr>
          <w:rStyle w:val="SectionNumber"/>
        </w:rPr>
        <w:t xml:space="preserve">1.4.3</w:t>
      </w:r>
      <w:r>
        <w:tab/>
      </w:r>
      <w:r>
        <w:t xml:space="preserve">Create New Structures and Systems</w:t>
      </w:r>
    </w:p>
    <w:bookmarkStart w:id="81" w:name="X15c3748fe530643e6f5f8df3b1fb3594841709c"/>
    <w:p>
      <w:pPr>
        <w:pStyle w:val="Heading4"/>
      </w:pPr>
      <w:r>
        <w:rPr>
          <w:rStyle w:val="SectionNumber"/>
        </w:rPr>
        <w:t xml:space="preserve">1.4.3.1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1" name="Picture"/>
            <a:graphic>
              <a:graphicData uri="http://schemas.openxmlformats.org/drawingml/2006/picture">
                <pic:pic>
                  <pic:nvPicPr>
                    <pic:cNvPr descr="./src/figs/figX-conceptual-PDS.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1" name="Picture"/>
            <a:graphic>
              <a:graphicData uri="http://schemas.openxmlformats.org/drawingml/2006/picture">
                <pic:pic>
                  <pic:nvPicPr>
                    <pic:cNvPr descr="./src/figs/figX-unified-watch-history.png" id="0" name="Picture"/>
                    <pic:cNvPicPr>
                      <a:picLocks noChangeArrowheads="1" noChangeAspect="1"/>
                    </pic:cNvPicPr>
                  </pic:nvPicPr>
                  <pic:blipFill>
                    <a:blip r:embed="rId80"/>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81"/>
    <w:bookmarkStart w:id="86" w:name="Xd9315e58dc63ed9c33913526df90c9a42daf4f1"/>
    <w:p>
      <w:pPr>
        <w:pStyle w:val="Heading4"/>
      </w:pPr>
      <w:r>
        <w:rPr>
          <w:rStyle w:val="SectionNumber"/>
        </w:rPr>
        <w:t xml:space="preserve">1.4.3.2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1" name="Picture"/>
            <a:graphic>
              <a:graphicData uri="http://schemas.openxmlformats.org/drawingml/2006/picture">
                <pic:pic>
                  <pic:nvPicPr>
                    <pic:cNvPr descr="./src/figs/figX-data-types.jpg" id="0" name="Picture"/>
                    <pic:cNvPicPr>
                      <a:picLocks noChangeArrowheads="1" noChangeAspect="1"/>
                    </pic:cNvPicPr>
                  </pic:nvPicPr>
                  <pic:blipFill>
                    <a:blip r:embed="rId8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1" name="Picture"/>
            <a:graphic>
              <a:graphicData uri="http://schemas.openxmlformats.org/drawingml/2006/picture">
                <pic:pic>
                  <pic:nvPicPr>
                    <pic:cNvPr descr="./src/figs/figX-happenings.jpg" id="0" name="Picture"/>
                    <pic:cNvPicPr>
                      <a:picLocks noChangeArrowheads="1" noChangeAspect="1"/>
                    </pic:cNvPicPr>
                  </pic:nvPicPr>
                  <pic:blipFill>
                    <a:blip r:embed="rId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1" name="Picture"/>
            <a:graphic>
              <a:graphicData uri="http://schemas.openxmlformats.org/drawingml/2006/picture">
                <pic:pic>
                  <pic:nvPicPr>
                    <pic:cNvPr descr="./src/figs/figX-data-attributes.jpg" id="0" name="Picture"/>
                    <pic:cNvPicPr>
                      <a:picLocks noChangeArrowheads="1" noChangeAspect="1"/>
                    </pic:cNvPicPr>
                  </pic:nvPicPr>
                  <pic:blipFill>
                    <a:blip r:embed="rId84"/>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1" name="Picture"/>
            <a:graphic>
              <a:graphicData uri="http://schemas.openxmlformats.org/drawingml/2006/picture">
                <pic:pic>
                  <pic:nvPicPr>
                    <pic:cNvPr descr="./src/figs/figX-simple-data-model.jpg" id="0" name="Picture"/>
                    <pic:cNvPicPr>
                      <a:picLocks noChangeArrowheads="1" noChangeAspect="1"/>
                    </pic:cNvPicPr>
                  </pic:nvPicPr>
                  <pic:blipFill>
                    <a:blip r:embed="rId85"/>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86"/>
    <w:bookmarkStart w:id="91" w:name="X0e5c125cd75d616bcc5dd8e0dc9205213d45ad6"/>
    <w:p>
      <w:pPr>
        <w:pStyle w:val="Heading4"/>
      </w:pPr>
      <w:r>
        <w:rPr>
          <w:rStyle w:val="SectionNumber"/>
        </w:rPr>
        <w:t xml:space="preserve">1.4.3.3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1" name="Picture"/>
            <a:graphic>
              <a:graphicData uri="http://schemas.openxmlformats.org/drawingml/2006/picture">
                <pic:pic>
                  <pic:nvPicPr>
                    <pic:cNvPr descr="./src/figs/figX-facebook-world2vec.png" id="0" name="Picture"/>
                    <pic:cNvPicPr>
                      <a:picLocks noChangeArrowheads="1" noChangeAspect="1"/>
                    </pic:cNvPicPr>
                  </pic:nvPicPr>
                  <pic:blipFill>
                    <a:blip r:embed="rId87"/>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1" name="Picture"/>
            <a:graphic>
              <a:graphicData uri="http://schemas.openxmlformats.org/drawingml/2006/picture">
                <pic:pic>
                  <pic:nvPicPr>
                    <pic:cNvPr descr="./src/figs/figX-determining-nature-of-data.jpg" id="0" name="Picture"/>
                    <pic:cNvPicPr>
                      <a:picLocks noChangeArrowheads="1" noChangeAspect="1"/>
                    </pic:cNvPicPr>
                  </pic:nvPicPr>
                  <pic:blipFill>
                    <a:blip r:embed="rId8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1" name="Picture"/>
            <a:graphic>
              <a:graphicData uri="http://schemas.openxmlformats.org/drawingml/2006/picture">
                <pic:pic>
                  <pic:nvPicPr>
                    <pic:cNvPr descr="./src/figs/figX-interpreting-data-as-information.jpg" id="0" name="Picture"/>
                    <pic:cNvPicPr>
                      <a:picLocks noChangeArrowheads="1" noChangeAspect="1"/>
                    </pic:cNvPicPr>
                  </pic:nvPicPr>
                  <pic:blipFill>
                    <a:blip r:embed="rId89"/>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1" name="Picture"/>
            <a:graphic>
              <a:graphicData uri="http://schemas.openxmlformats.org/drawingml/2006/picture">
                <pic:pic>
                  <pic:nvPicPr>
                    <pic:cNvPr descr="./src/figs/figX-finding-entities-in-data.jpg" id="0" name="Picture"/>
                    <pic:cNvPicPr>
                      <a:picLocks noChangeArrowheads="1" noChangeAspect="1"/>
                    </pic:cNvPicPr>
                  </pic:nvPicPr>
                  <pic:blipFill>
                    <a:blip r:embed="rId90"/>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91"/>
    <w:bookmarkEnd w:id="92"/>
    <w:bookmarkStart w:id="101" w:name="create-new-information-interfaces"/>
    <w:p>
      <w:pPr>
        <w:pStyle w:val="Heading3"/>
      </w:pPr>
      <w:r>
        <w:rPr>
          <w:rStyle w:val="SectionNumber"/>
        </w:rPr>
        <w:t xml:space="preserve">1.4.4</w:t>
      </w:r>
      <w:r>
        <w:tab/>
      </w:r>
      <w:r>
        <w:t xml:space="preserve">Create New Information Interfaces</w:t>
      </w:r>
    </w:p>
    <w:bookmarkStart w:id="97" w:name="X19f46fd11ab43bef65728ba1165fe82636fd166"/>
    <w:p>
      <w:pPr>
        <w:pStyle w:val="Heading4"/>
      </w:pPr>
      <w:r>
        <w:rPr>
          <w:rStyle w:val="SectionNumber"/>
        </w:rPr>
        <w:t xml:space="preserve">1.4.4.1</w:t>
      </w:r>
      <w:r>
        <w:tab/>
      </w:r>
      <w:r>
        <w:t xml:space="preserve">Opportunity 8: Life Information interfaces</w:t>
      </w:r>
    </w:p>
    <w:p>
      <w:pPr>
        <w:pStyle w:val="FirstParagraph"/>
      </w:pPr>
      <w:r>
        <w:drawing>
          <wp:inline>
            <wp:extent cx="5334000" cy="3897572"/>
            <wp:effectExtent b="0" l="0" r="0" t="0"/>
            <wp:docPr descr="Figure X: Life Partitioning" title="" id="1" name="Picture"/>
            <a:graphic>
              <a:graphicData uri="http://schemas.openxmlformats.org/drawingml/2006/picture">
                <pic:pic>
                  <pic:nvPicPr>
                    <pic:cNvPr descr="./src/figs/figX-rooms-of-life.jpg" id="0" name="Picture"/>
                    <pic:cNvPicPr>
                      <a:picLocks noChangeArrowheads="1" noChangeAspect="1"/>
                    </pic:cNvPicPr>
                  </pic:nvPicPr>
                  <pic:blipFill>
                    <a:blip r:embed="rId93"/>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1" name="Picture"/>
            <a:graphic>
              <a:graphicData uri="http://schemas.openxmlformats.org/drawingml/2006/picture">
                <pic:pic>
                  <pic:nvPicPr>
                    <pic:cNvPr descr="./src/figs/figX-taxonomies-for-navigation.png" id="0" name="Picture"/>
                    <pic:cNvPicPr>
                      <a:picLocks noChangeArrowheads="1" noChangeAspect="1"/>
                    </pic:cNvPicPr>
                  </pic:nvPicPr>
                  <pic:blipFill>
                    <a:blip r:embed="rId94"/>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1" name="Picture"/>
            <a:graphic>
              <a:graphicData uri="http://schemas.openxmlformats.org/drawingml/2006/picture">
                <pic:pic>
                  <pic:nvPicPr>
                    <pic:cNvPr descr="./src/figs/figX-browse-by-areas-of-life.jpg" id="0" name="Picture"/>
                    <pic:cNvPicPr>
                      <a:picLocks noChangeArrowheads="1" noChangeAspect="1"/>
                    </pic:cNvPicPr>
                  </pic:nvPicPr>
                  <pic:blipFill>
                    <a:blip r:embed="rId95"/>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1" name="Picture"/>
            <a:graphic>
              <a:graphicData uri="http://schemas.openxmlformats.org/drawingml/2006/picture">
                <pic:pic>
                  <pic:nvPicPr>
                    <pic:cNvPr descr="./src/figs/figX-dashboard-concept.png" id="0" name="Picture"/>
                    <pic:cNvPicPr>
                      <a:picLocks noChangeArrowheads="1" noChangeAspect="1"/>
                    </pic:cNvPicPr>
                  </pic:nvPicPr>
                  <pic:blipFill>
                    <a:blip r:embed="rId96"/>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97"/>
    <w:bookmarkStart w:id="99" w:name="X82c7d909736dea5f15ad012b1948e42967f215c"/>
    <w:p>
      <w:pPr>
        <w:pStyle w:val="Heading4"/>
      </w:pPr>
      <w:r>
        <w:rPr>
          <w:rStyle w:val="SectionNumber"/>
        </w:rPr>
        <w:t xml:space="preserve">1.4.4.2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1" name="Picture"/>
            <a:graphic>
              <a:graphicData uri="http://schemas.openxmlformats.org/drawingml/2006/picture">
                <pic:pic>
                  <pic:nvPicPr>
                    <pic:cNvPr descr="./src/figs/figX-subscrab.png" id="0" name="Picture"/>
                    <pic:cNvPicPr>
                      <a:picLocks noChangeArrowheads="1" noChangeAspect="1"/>
                    </pic:cNvPicPr>
                  </pic:nvPicPr>
                  <pic:blipFill>
                    <a:blip r:embed="rId98"/>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99"/>
    <w:bookmarkStart w:id="100" w:name="X02d1dfb594e2624af520b07f79aac2fa12e4d75"/>
    <w:p>
      <w:pPr>
        <w:pStyle w:val="Heading4"/>
      </w:pPr>
      <w:r>
        <w:rPr>
          <w:rStyle w:val="SectionNumber"/>
        </w:rPr>
        <w:t xml:space="preserve">1.4.4.3</w:t>
      </w:r>
      <w:r>
        <w:tab/>
      </w:r>
      <w:r>
        <w:t xml:space="preserve">Opportunity 10: Inclusive Information Flows</w:t>
      </w:r>
    </w:p>
    <w:p>
      <w:pPr>
        <w:pStyle w:val="FirstParagraph"/>
      </w:pPr>
      <w:r>
        <w:t xml:space="preserve">Key idea: Rivers of flowing info. Including people.</w:t>
      </w:r>
    </w:p>
    <w:bookmarkEnd w:id="100"/>
    <w:bookmarkEnd w:id="101"/>
    <w:bookmarkStart w:id="106" w:name="create-new-capabilities"/>
    <w:p>
      <w:pPr>
        <w:pStyle w:val="Heading3"/>
      </w:pPr>
      <w:r>
        <w:rPr>
          <w:rStyle w:val="SectionNumber"/>
        </w:rPr>
        <w:t xml:space="preserve">1.4.5</w:t>
      </w:r>
      <w:r>
        <w:tab/>
      </w:r>
      <w:r>
        <w:t xml:space="preserve">Create New Capabilities</w:t>
      </w:r>
    </w:p>
    <w:bookmarkStart w:id="104" w:name="Xd0b4d1913b98dfeee2ba0c22bafde2a3b99a340"/>
    <w:p>
      <w:pPr>
        <w:pStyle w:val="Heading4"/>
      </w:pPr>
      <w:r>
        <w:rPr>
          <w:rStyle w:val="SectionNumber"/>
        </w:rPr>
        <w:t xml:space="preserve">1.4.5.1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1" name="Picture"/>
            <a:graphic>
              <a:graphicData uri="http://schemas.openxmlformats.org/drawingml/2006/picture">
                <pic:pic>
                  <pic:nvPicPr>
                    <pic:cNvPr descr="./src/figs/figX-data-actions.jpg" id="0" name="Picture"/>
                    <pic:cNvPicPr>
                      <a:picLocks noChangeArrowheads="1" noChangeAspect="1"/>
                    </pic:cNvPicPr>
                  </pic:nvPicPr>
                  <pic:blipFill>
                    <a:blip r:embed="rId102"/>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1" name="Picture"/>
            <a:graphic>
              <a:graphicData uri="http://schemas.openxmlformats.org/drawingml/2006/picture">
                <pic:pic>
                  <pic:nvPicPr>
                    <pic:cNvPr descr="./src/figs/figX-data-questions.jpg" id="0" name="Picture"/>
                    <pic:cNvPicPr>
                      <a:picLocks noChangeArrowheads="1" noChangeAspect="1"/>
                    </pic:cNvPicPr>
                  </pic:nvPicPr>
                  <pic:blipFill>
                    <a:blip r:embed="rId103"/>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104"/>
    <w:bookmarkStart w:id="105" w:name="Xe871ea8579cf336cd8e955c506a4208937c70c7"/>
    <w:p>
      <w:pPr>
        <w:pStyle w:val="Heading4"/>
      </w:pPr>
      <w:r>
        <w:rPr>
          <w:rStyle w:val="SectionNumber"/>
        </w:rPr>
        <w:t xml:space="preserve">1.4.5.2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105"/>
    <w:bookmarkEnd w:id="106"/>
    <w:bookmarkStart w:id="111" w:name="influence-motivate"/>
    <w:p>
      <w:pPr>
        <w:pStyle w:val="Heading3"/>
      </w:pPr>
      <w:r>
        <w:rPr>
          <w:rStyle w:val="SectionNumber"/>
        </w:rPr>
        <w:t xml:space="preserve">1.4.6</w:t>
      </w:r>
      <w:r>
        <w:tab/>
      </w:r>
      <w:r>
        <w:t xml:space="preserve">Influence &amp; Motivate</w:t>
      </w:r>
    </w:p>
    <w:bookmarkStart w:id="107" w:name="Xfe8484c4b0e1f283e83defb16378b219d67e8dc"/>
    <w:p>
      <w:pPr>
        <w:pStyle w:val="Heading4"/>
      </w:pPr>
      <w:r>
        <w:rPr>
          <w:rStyle w:val="SectionNumber"/>
        </w:rPr>
        <w:t xml:space="preserve">1.4.6.1</w:t>
      </w:r>
      <w:r>
        <w:tab/>
      </w:r>
      <w:r>
        <w:t xml:space="preserve">Opportunity 13: Regulating the Information Landscape</w:t>
      </w:r>
    </w:p>
    <w:p>
      <w:pPr>
        <w:pStyle w:val="FirstParagraph"/>
      </w:pPr>
      <w:r>
        <w:t xml:space="preserve">Key point: regulation of</w:t>
      </w:r>
      <w:r>
        <w:t xml:space="preserve"> </w:t>
      </w:r>
      <w:r>
        <w:rPr>
          <w:i/>
        </w:rPr>
        <w:t xml:space="preserve">landscape</w:t>
      </w:r>
      <w:r>
        <w:t xml:space="preserve"> </w:t>
      </w:r>
      <w:r>
        <w:t xml:space="preserve">-&gt; new moves DSA</w:t>
      </w:r>
      <w:r>
        <w:t xml:space="preserve"> </w:t>
      </w:r>
      <w:r>
        <w:t xml:space="preserve">maybe also some ref back to end C5 and to the GDPR Guidelines</w:t>
      </w:r>
    </w:p>
    <w:bookmarkEnd w:id="107"/>
    <w:bookmarkStart w:id="108" w:name="X2bc2fb168ff6e2067fd277d211382c6044a3aab"/>
    <w:p>
      <w:pPr>
        <w:pStyle w:val="Heading4"/>
      </w:pPr>
      <w:r>
        <w:rPr>
          <w:rStyle w:val="SectionNumber"/>
        </w:rPr>
        <w:t xml:space="preserve">1.4.6.2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108"/>
    <w:bookmarkStart w:id="109" w:name="Xf1a9455403b2a774545251cc99033b5164ac5c4"/>
    <w:p>
      <w:pPr>
        <w:pStyle w:val="Heading4"/>
      </w:pPr>
      <w:r>
        <w:rPr>
          <w:rStyle w:val="SectionNumber"/>
        </w:rPr>
        <w:t xml:space="preserve">1.4.6.3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109"/>
    <w:bookmarkStart w:id="110" w:name="X58e9a2d6dc9586f676dc4b7048e834583b95c96"/>
    <w:p>
      <w:pPr>
        <w:pStyle w:val="Heading4"/>
      </w:pPr>
      <w:r>
        <w:rPr>
          <w:rStyle w:val="SectionNumber"/>
        </w:rPr>
        <w:t xml:space="preserve">1.4.6.4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110"/>
    <w:bookmarkEnd w:id="111"/>
    <w:bookmarkStart w:id="114" w:name="educate-empower"/>
    <w:p>
      <w:pPr>
        <w:pStyle w:val="Heading3"/>
      </w:pPr>
      <w:r>
        <w:rPr>
          <w:rStyle w:val="SectionNumber"/>
        </w:rPr>
        <w:t xml:space="preserve">1.4.7</w:t>
      </w:r>
      <w:r>
        <w:tab/>
      </w:r>
      <w:r>
        <w:t xml:space="preserve">Educate &amp; Empower</w:t>
      </w:r>
    </w:p>
    <w:bookmarkStart w:id="112" w:name="X1cdc5cf40cc271d8b28e26f75866f804423d865"/>
    <w:p>
      <w:pPr>
        <w:pStyle w:val="Heading4"/>
      </w:pPr>
      <w:r>
        <w:rPr>
          <w:rStyle w:val="SectionNumber"/>
        </w:rPr>
        <w:t xml:space="preserve">1.4.7.1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112"/>
    <w:bookmarkStart w:id="113" w:name="X3f4da39dfae5755a90e6ebf0caa7dd98559282b"/>
    <w:p>
      <w:pPr>
        <w:pStyle w:val="Heading4"/>
      </w:pPr>
      <w:r>
        <w:rPr>
          <w:rStyle w:val="SectionNumber"/>
        </w:rPr>
        <w:t xml:space="preserve">1.4.7.2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113"/>
    <w:bookmarkEnd w:id="114"/>
    <w:bookmarkEnd w:id="115"/>
    <w:bookmarkStart w:id="116" w:name="thesis-conclusion"/>
    <w:p>
      <w:pPr>
        <w:pStyle w:val="Heading2"/>
      </w:pPr>
      <w:r>
        <w:rPr>
          <w:rStyle w:val="SectionNumber"/>
        </w:rPr>
        <w:t xml:space="preserve">1.5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116"/>
    <w:bookmarkEnd w:id="117"/>
    <w:bookmarkStart w:id="189" w:name="bibliography"/>
    <w:p>
      <w:pPr>
        <w:pStyle w:val="Heading1"/>
      </w:pPr>
      <w:r>
        <w:t xml:space="preserve">Bibliography</w:t>
      </w:r>
    </w:p>
    <w:bookmarkStart w:id="188" w:name="refs"/>
    <w:bookmarkStart w:id="119"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18">
        <w:r>
          <w:rPr>
            <w:rStyle w:val="Hyperlink"/>
          </w:rPr>
          <w:t xml:space="preserve">10.1145/2670528</w:t>
        </w:r>
      </w:hyperlink>
      <w:r>
        <w:t xml:space="preserve">.</w:t>
      </w:r>
    </w:p>
    <w:bookmarkEnd w:id="119"/>
    <w:bookmarkStart w:id="121" w:name="ref-bernersLee2001"/>
    <w:p>
      <w:pPr>
        <w:pStyle w:val="Bibliography"/>
      </w:pPr>
      <w:r>
        <w:t xml:space="preserve">Berners-Lee, T., Hendler, J. and Lassila, O. (2001) ‘The Semantic Web’,</w:t>
      </w:r>
      <w:r>
        <w:t xml:space="preserve"> </w:t>
      </w:r>
      <w:r>
        <w:rPr>
          <w:i/>
        </w:rPr>
        <w:t xml:space="preserve">Scientific American</w:t>
      </w:r>
      <w:r>
        <w:t xml:space="preserve">, 284(5), pp. 34–43. Available at:</w:t>
      </w:r>
      <w:r>
        <w:t xml:space="preserve"> </w:t>
      </w:r>
      <w:hyperlink r:id="rId120">
        <w:r>
          <w:rPr>
            <w:rStyle w:val="Hyperlink"/>
          </w:rPr>
          <w:t xml:space="preserve">https://jstor.org/stable/10.2307/26059207</w:t>
        </w:r>
      </w:hyperlink>
      <w:r>
        <w:t xml:space="preserve">.</w:t>
      </w:r>
    </w:p>
    <w:bookmarkEnd w:id="121"/>
    <w:bookmarkStart w:id="123" w:name="ref-bowyer2011"/>
    <w:p>
      <w:pPr>
        <w:pStyle w:val="Bibliography"/>
      </w:pPr>
      <w:r>
        <w:t xml:space="preserve">Bowyer, A. (2011) ‘Why files need to die’. Available at:</w:t>
      </w:r>
      <w:r>
        <w:t xml:space="preserve"> </w:t>
      </w:r>
      <w:hyperlink r:id="rId122">
        <w:r>
          <w:rPr>
            <w:rStyle w:val="Hyperlink"/>
          </w:rPr>
          <w:t xml:space="preserve">http://radar.oreilly.com/2011/07/why-files-need-to-die.html</w:t>
        </w:r>
      </w:hyperlink>
      <w:r>
        <w:t xml:space="preserve">.</w:t>
      </w:r>
    </w:p>
    <w:bookmarkEnd w:id="123"/>
    <w:bookmarkStart w:id="125" w:name="ref-bowyer2021"/>
    <w:p>
      <w:pPr>
        <w:pStyle w:val="Bibliography"/>
      </w:pPr>
      <w:r>
        <w:t xml:space="preserve">Bowyer, A. (2021) ‘Human-Data Interaction has two purposes: Personal Data Control and Life Information Exploration’. Available at:</w:t>
      </w:r>
      <w:r>
        <w:t xml:space="preserve"> </w:t>
      </w:r>
      <w:hyperlink r:id="rId124">
        <w:r>
          <w:rPr>
            <w:rStyle w:val="Hyperlink"/>
          </w:rPr>
          <w:t xml:space="preserve">https://eprints.ncl.ac.uk/273832#.</w:t>
        </w:r>
      </w:hyperlink>
    </w:p>
    <w:bookmarkEnd w:id="125"/>
    <w:bookmarkStart w:id="12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26">
        <w:r>
          <w:rPr>
            <w:rStyle w:val="Hyperlink"/>
          </w:rPr>
          <w:t xml:space="preserve">10.1145/3173574.3173710</w:t>
        </w:r>
      </w:hyperlink>
      <w:r>
        <w:t xml:space="preserve">.</w:t>
      </w:r>
    </w:p>
    <w:bookmarkEnd w:id="127"/>
    <w:bookmarkStart w:id="128" w:name="ref-brest2010"/>
    <w:p>
      <w:pPr>
        <w:pStyle w:val="Bibliography"/>
      </w:pPr>
      <w:r>
        <w:t xml:space="preserve">Brest, P. (2010) ‘The Power of Theories of Change’,</w:t>
      </w:r>
      <w:r>
        <w:t xml:space="preserve"> </w:t>
      </w:r>
      <w:r>
        <w:rPr>
          <w:i/>
        </w:rPr>
        <w:t xml:space="preserve">Stanford Social Innovation Review</w:t>
      </w:r>
      <w:r>
        <w:t xml:space="preserve">, 8(2), pp. 47–51.</w:t>
      </w:r>
    </w:p>
    <w:bookmarkEnd w:id="128"/>
    <w:bookmarkStart w:id="130"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129">
        <w:r>
          <w:rPr>
            <w:rStyle w:val="Hyperlink"/>
          </w:rPr>
          <w:t xml:space="preserve">10.1007/s12394-010-0062-y</w:t>
        </w:r>
      </w:hyperlink>
      <w:r>
        <w:t xml:space="preserve">.</w:t>
      </w:r>
    </w:p>
    <w:bookmarkEnd w:id="130"/>
    <w:bookmarkStart w:id="132"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131">
        <w:r>
          <w:rPr>
            <w:rStyle w:val="Hyperlink"/>
          </w:rPr>
          <w:t xml:space="preserve">10.1145/3301655</w:t>
        </w:r>
      </w:hyperlink>
      <w:r>
        <w:t xml:space="preserve">.</w:t>
      </w:r>
    </w:p>
    <w:bookmarkEnd w:id="132"/>
    <w:bookmarkStart w:id="133" w:name="ref-vanEs2015"/>
    <w:p>
      <w:pPr>
        <w:pStyle w:val="Bibliography"/>
      </w:pPr>
      <w:r>
        <w:t xml:space="preserve">Es, M. van, Guijt, I. and Vogel, I. (2015) ‘Hivos ToC Guidelines: Theory of Change Thinking in Practice’. The Hague, The Netherlands: Hivos.</w:t>
      </w:r>
    </w:p>
    <w:bookmarkEnd w:id="133"/>
    <w:bookmarkStart w:id="135" w:name="ref-explainableAI"/>
    <w:p>
      <w:pPr>
        <w:pStyle w:val="Bibliography"/>
      </w:pPr>
      <w:r>
        <w:t xml:space="preserve">‘Explainable ai: Making machines understandable for humans’ (no date). Available at:</w:t>
      </w:r>
      <w:r>
        <w:t xml:space="preserve"> </w:t>
      </w:r>
      <w:hyperlink r:id="rId134">
        <w:r>
          <w:rPr>
            <w:rStyle w:val="Hyperlink"/>
          </w:rPr>
          <w:t xml:space="preserve">https://explainableai.com/</w:t>
        </w:r>
      </w:hyperlink>
      <w:r>
        <w:t xml:space="preserve"> </w:t>
      </w:r>
      <w:r>
        <w:t xml:space="preserve">(Accessed: 16 June 2022).</w:t>
      </w:r>
    </w:p>
    <w:bookmarkEnd w:id="135"/>
    <w:bookmarkStart w:id="136" w:name="ref-foucault1975"/>
    <w:p>
      <w:pPr>
        <w:pStyle w:val="Bibliography"/>
      </w:pPr>
      <w:r>
        <w:t xml:space="preserve">Foucault, M. (1975) ‘Discipline and punish: The birth of the prison’,</w:t>
      </w:r>
      <w:r>
        <w:t xml:space="preserve"> </w:t>
      </w:r>
      <w:r>
        <w:rPr>
          <w:i/>
        </w:rPr>
        <w:t xml:space="preserve">New York</w:t>
      </w:r>
      <w:r>
        <w:t xml:space="preserve">. Pantheon Books.</w:t>
      </w:r>
    </w:p>
    <w:bookmarkEnd w:id="136"/>
    <w:bookmarkStart w:id="138"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137">
        <w:r>
          <w:rPr>
            <w:rStyle w:val="Hyperlink"/>
          </w:rPr>
          <w:t xml:space="preserve">10.1145/381854.381893</w:t>
        </w:r>
      </w:hyperlink>
      <w:r>
        <w:t xml:space="preserve">.</w:t>
      </w:r>
    </w:p>
    <w:bookmarkEnd w:id="138"/>
    <w:bookmarkStart w:id="140" w:name="ref-gillespie2016"/>
    <w:p>
      <w:pPr>
        <w:pStyle w:val="Bibliography"/>
      </w:pPr>
      <w:r>
        <w:t xml:space="preserve">Gillespie, T. and Seaver, N. (2016) ‘Critical Algorithm Studies - A Reading List’. Available at:</w:t>
      </w:r>
      <w:r>
        <w:t xml:space="preserve"> </w:t>
      </w:r>
      <w:hyperlink r:id="rId139">
        <w:r>
          <w:rPr>
            <w:rStyle w:val="Hyperlink"/>
          </w:rPr>
          <w:t xml:space="preserve">https://socialmediacollective.org/reading-lists/critical-algorithm-studies/</w:t>
        </w:r>
      </w:hyperlink>
      <w:r>
        <w:t xml:space="preserve">.</w:t>
      </w:r>
    </w:p>
    <w:bookmarkEnd w:id="140"/>
    <w:bookmarkStart w:id="142"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141">
        <w:r>
          <w:rPr>
            <w:rStyle w:val="Hyperlink"/>
          </w:rPr>
          <w:t xml:space="preserve">https://mitpress.mit.edu/books/raw-data-oxymoron</w:t>
        </w:r>
      </w:hyperlink>
      <w:r>
        <w:t xml:space="preserve">.</w:t>
      </w:r>
    </w:p>
    <w:bookmarkEnd w:id="142"/>
    <w:bookmarkStart w:id="144" w:name="ref-harris2013"/>
    <w:p>
      <w:pPr>
        <w:pStyle w:val="Bibliography"/>
      </w:pPr>
      <w:r>
        <w:t xml:space="preserve">Harris, T. (2013) ‘A Call to Minimize Distraction Respect Users’ Attention’. Available at:</w:t>
      </w:r>
      <w:r>
        <w:t xml:space="preserve"> </w:t>
      </w:r>
      <w:hyperlink r:id="rId143">
        <w:r>
          <w:rPr>
            <w:rStyle w:val="Hyperlink"/>
          </w:rPr>
          <w:t xml:space="preserve">http://www.minimizedistraction.com/</w:t>
        </w:r>
      </w:hyperlink>
      <w:r>
        <w:t xml:space="preserve">.</w:t>
      </w:r>
    </w:p>
    <w:bookmarkEnd w:id="144"/>
    <w:bookmarkStart w:id="146"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145">
        <w:r>
          <w:rPr>
            <w:rStyle w:val="Hyperlink"/>
          </w:rPr>
          <w:t xml:space="preserve">10.1145/2379057.2379109</w:t>
        </w:r>
      </w:hyperlink>
      <w:r>
        <w:t xml:space="preserve">.</w:t>
      </w:r>
    </w:p>
    <w:bookmarkEnd w:id="146"/>
    <w:bookmarkStart w:id="148" w:name="ref-wef2014lens"/>
    <w:p>
      <w:pPr>
        <w:pStyle w:val="Bibliography"/>
      </w:pPr>
      <w:r>
        <w:t xml:space="preserve">Hoffman, W. (2014)</w:t>
      </w:r>
      <w:r>
        <w:t xml:space="preserve"> </w:t>
      </w:r>
      <w:r>
        <w:rPr>
          <w:i/>
        </w:rPr>
        <w:t xml:space="preserve">Rethinking Personal Data : A New Lens for Strengthening Trust</w:t>
      </w:r>
      <w:r>
        <w:t xml:space="preserve">. May. World Economic Forum, p. 35. Available at:</w:t>
      </w:r>
      <w:r>
        <w:t xml:space="preserve"> </w:t>
      </w:r>
      <w:hyperlink r:id="rId147">
        <w:r>
          <w:rPr>
            <w:rStyle w:val="Hyperlink"/>
          </w:rPr>
          <w:t xml:space="preserve">http://www3.weforum.org/docs/WEF_RethinkingPersonalData_ANewLens_Report_2014.pdf</w:t>
        </w:r>
      </w:hyperlink>
      <w:r>
        <w:t xml:space="preserve">.</w:t>
      </w:r>
    </w:p>
    <w:bookmarkEnd w:id="148"/>
    <w:bookmarkStart w:id="150" w:name="ref-jasperson2002"/>
    <w:p>
      <w:pPr>
        <w:pStyle w:val="Bibliography"/>
      </w:pPr>
      <w:r>
        <w:t xml:space="preserve">Jasperson, J. (.</w:t>
      </w:r>
      <w:r>
        <w:t xml:space="preserve"> </w:t>
      </w:r>
      <w:r>
        <w:rPr>
          <w:i/>
        </w:rPr>
        <w:t xml:space="preserve">et al.</w:t>
      </w:r>
      <w:r>
        <w:t xml:space="preserve"> </w:t>
      </w:r>
      <w:r>
        <w:t xml:space="preserve">(2002) ‘Review: Power and Information Technology Research: A Metatriangulation Review’. Society for Information Management; The Management Information Systems Research Center. doi:</w:t>
      </w:r>
      <w:r>
        <w:t xml:space="preserve"> </w:t>
      </w:r>
      <w:hyperlink r:id="rId149">
        <w:r>
          <w:rPr>
            <w:rStyle w:val="Hyperlink"/>
          </w:rPr>
          <w:t xml:space="preserve">10.2307/4132315</w:t>
        </w:r>
      </w:hyperlink>
      <w:r>
        <w:t xml:space="preserve">.</w:t>
      </w:r>
    </w:p>
    <w:bookmarkEnd w:id="150"/>
    <w:bookmarkStart w:id="152"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151">
        <w:r>
          <w:rPr>
            <w:rStyle w:val="Hyperlink"/>
          </w:rPr>
          <w:t xml:space="preserve">10.1145/1125451.1125469</w:t>
        </w:r>
      </w:hyperlink>
      <w:r>
        <w:t xml:space="preserve">.</w:t>
      </w:r>
    </w:p>
    <w:bookmarkEnd w:id="152"/>
    <w:bookmarkStart w:id="154"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153">
        <w:r>
          <w:rPr>
            <w:rStyle w:val="Hyperlink"/>
          </w:rPr>
          <w:t xml:space="preserve">https://s3.amazonaws.com/academia.edu.documents/46870765/haystack.pdf</w:t>
        </w:r>
      </w:hyperlink>
      <w:r>
        <w:t xml:space="preserve">.</w:t>
      </w:r>
    </w:p>
    <w:bookmarkEnd w:id="154"/>
    <w:bookmarkStart w:id="155" w:name="ref-kelty2008"/>
    <w:p>
      <w:pPr>
        <w:pStyle w:val="Bibliography"/>
      </w:pPr>
      <w:r>
        <w:t xml:space="preserve">Kelty, C. M. (2008)</w:t>
      </w:r>
      <w:r>
        <w:t xml:space="preserve"> </w:t>
      </w:r>
      <w:r>
        <w:rPr>
          <w:i/>
        </w:rPr>
        <w:t xml:space="preserve">Geeks and Recursive Publics</w:t>
      </w:r>
      <w:r>
        <w:t xml:space="preserve">. Duke University Press, pp. 27–63.</w:t>
      </w:r>
    </w:p>
    <w:bookmarkEnd w:id="155"/>
    <w:bookmarkStart w:id="156" w:name="ref-kirven2018"/>
    <w:p>
      <w:pPr>
        <w:pStyle w:val="Bibliography"/>
      </w:pPr>
      <w:r>
        <w:t xml:space="preserve">Kirven, A. (2018) ‘Whose gig is it anyway: Technological change, workplace control and supervision, and workers’ rights in the gig economy’,</w:t>
      </w:r>
      <w:r>
        <w:t xml:space="preserve"> </w:t>
      </w:r>
      <w:r>
        <w:rPr>
          <w:i/>
        </w:rPr>
        <w:t xml:space="preserve">U. Colo. L. Rev.</w:t>
      </w:r>
      <w:r>
        <w:t xml:space="preserve"> </w:t>
      </w:r>
      <w:r>
        <w:t xml:space="preserve">HeinOnline, 89, p. 249.</w:t>
      </w:r>
    </w:p>
    <w:bookmarkEnd w:id="156"/>
    <w:bookmarkStart w:id="157" w:name="ref-ledantec2016"/>
    <w:p>
      <w:pPr>
        <w:pStyle w:val="Bibliography"/>
      </w:pPr>
      <w:r>
        <w:t xml:space="preserve">Le Dantec, C. A. (2016)</w:t>
      </w:r>
      <w:r>
        <w:t xml:space="preserve"> </w:t>
      </w:r>
      <w:r>
        <w:rPr>
          <w:i/>
        </w:rPr>
        <w:t xml:space="preserve">Designing publics</w:t>
      </w:r>
      <w:r>
        <w:t xml:space="preserve">. MIT Press.</w:t>
      </w:r>
    </w:p>
    <w:bookmarkEnd w:id="157"/>
    <w:bookmarkStart w:id="159" w:name="ref-mahieu2018"/>
    <w:p>
      <w:pPr>
        <w:pStyle w:val="Bibliography"/>
      </w:pPr>
      <w:r>
        <w:t xml:space="preserve">Mahieu, R. L. P., Asghari, H. and Van Eeten, M. (2018) ‘Collectively exercising the right of access: Individual effort, societal effect’,</w:t>
      </w:r>
      <w:r>
        <w:t xml:space="preserve"> </w:t>
      </w:r>
      <w:r>
        <w:rPr>
          <w:i/>
        </w:rPr>
        <w:t xml:space="preserve">Internet Policy Review</w:t>
      </w:r>
      <w:r>
        <w:t xml:space="preserve">, 7(3), pp. 1–23. doi:</w:t>
      </w:r>
      <w:r>
        <w:t xml:space="preserve"> </w:t>
      </w:r>
      <w:hyperlink r:id="rId158">
        <w:r>
          <w:rPr>
            <w:rStyle w:val="Hyperlink"/>
          </w:rPr>
          <w:t xml:space="preserve">10.14763/2018.3.927</w:t>
        </w:r>
      </w:hyperlink>
      <w:r>
        <w:t xml:space="preserve">.</w:t>
      </w:r>
    </w:p>
    <w:bookmarkEnd w:id="159"/>
    <w:bookmarkStart w:id="161" w:name="ref-mahieu2020b"/>
    <w:p>
      <w:pPr>
        <w:pStyle w:val="Bibliography"/>
      </w:pPr>
      <w:r>
        <w:t xml:space="preserve">Mahieu, R. L. P. and Ausloos, J. (2020) ‘Harnessing the collective potential of GDPR access rights : towards an ecology of transparency’,</w:t>
      </w:r>
      <w:r>
        <w:t xml:space="preserve"> </w:t>
      </w:r>
      <w:r>
        <w:rPr>
          <w:i/>
        </w:rPr>
        <w:t xml:space="preserve">Internet Policy Review</w:t>
      </w:r>
      <w:r>
        <w:t xml:space="preserve">. Available at:</w:t>
      </w:r>
      <w:r>
        <w:t xml:space="preserve"> </w:t>
      </w:r>
      <w:hyperlink r:id="rId160">
        <w:r>
          <w:rPr>
            <w:rStyle w:val="Hyperlink"/>
          </w:rPr>
          <w:t xml:space="preserve">https://policyreview.info/articles/news/harnessing-collective-potential-gdpr-access-rights-towards-ecology-transparency/1487</w:t>
        </w:r>
      </w:hyperlink>
      <w:r>
        <w:t xml:space="preserve">.</w:t>
      </w:r>
    </w:p>
    <w:bookmarkEnd w:id="161"/>
    <w:bookmarkStart w:id="163"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162">
        <w:r>
          <w:rPr>
            <w:rStyle w:val="Hyperlink"/>
          </w:rPr>
          <w:t xml:space="preserve">10.1016/j.lisr.2008.07.001</w:t>
        </w:r>
      </w:hyperlink>
      <w:r>
        <w:t xml:space="preserve">.</w:t>
      </w:r>
    </w:p>
    <w:bookmarkEnd w:id="163"/>
    <w:bookmarkStart w:id="165" w:name="ref-meschtscherjakov2014"/>
    <w:p>
      <w:pPr>
        <w:pStyle w:val="Bibliography"/>
      </w:pPr>
      <w:r>
        <w:t xml:space="preserve">Meschtscherjakov, A., Wilfinger, D. and Tscheligi, M. (2014) ‘Mobile attachment- Causes and consequences for emotional bonding with mobile phones’,</w:t>
      </w:r>
      <w:r>
        <w:t xml:space="preserve"> </w:t>
      </w:r>
      <w:r>
        <w:rPr>
          <w:i/>
        </w:rPr>
        <w:t xml:space="preserve">Conference on Human Factors in Computing Systems - Proceedings</w:t>
      </w:r>
      <w:r>
        <w:t xml:space="preserve">, pp. 2317–2326. doi:</w:t>
      </w:r>
      <w:r>
        <w:t xml:space="preserve"> </w:t>
      </w:r>
      <w:hyperlink r:id="rId164">
        <w:r>
          <w:rPr>
            <w:rStyle w:val="Hyperlink"/>
          </w:rPr>
          <w:t xml:space="preserve">10.1145/2556288.2557295</w:t>
        </w:r>
      </w:hyperlink>
      <w:r>
        <w:t xml:space="preserve">.</w:t>
      </w:r>
    </w:p>
    <w:bookmarkEnd w:id="165"/>
    <w:bookmarkStart w:id="167"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166">
        <w:r>
          <w:rPr>
            <w:rStyle w:val="Hyperlink"/>
          </w:rPr>
          <w:t xml:space="preserve">10.5210/fm.v17i5.4013</w:t>
        </w:r>
      </w:hyperlink>
      <w:r>
        <w:t xml:space="preserve">.</w:t>
      </w:r>
    </w:p>
    <w:bookmarkEnd w:id="167"/>
    <w:bookmarkStart w:id="169"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168">
        <w:r>
          <w:rPr>
            <w:rStyle w:val="Hyperlink"/>
          </w:rPr>
          <w:t xml:space="preserve">10.2139/ssrn.2508051</w:t>
        </w:r>
      </w:hyperlink>
      <w:r>
        <w:t xml:space="preserve">.</w:t>
      </w:r>
    </w:p>
    <w:bookmarkEnd w:id="169"/>
    <w:bookmarkStart w:id="171" w:name="ref-mydata2017declaration"/>
    <w:p>
      <w:pPr>
        <w:pStyle w:val="Bibliography"/>
      </w:pPr>
      <w:r>
        <w:t xml:space="preserve">MyData (2017) ‘Declaration - MyData.org’. Available at:</w:t>
      </w:r>
      <w:r>
        <w:t xml:space="preserve"> </w:t>
      </w:r>
      <w:hyperlink r:id="rId170">
        <w:r>
          <w:rPr>
            <w:rStyle w:val="Hyperlink"/>
          </w:rPr>
          <w:t xml:space="preserve">https://mydata.org/declaration/</w:t>
        </w:r>
      </w:hyperlink>
      <w:r>
        <w:t xml:space="preserve"> </w:t>
      </w:r>
      <w:r>
        <w:t xml:space="preserve">(Accessed: 8 November 2019).</w:t>
      </w:r>
    </w:p>
    <w:bookmarkEnd w:id="171"/>
    <w:bookmarkStart w:id="173"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172">
        <w:r>
          <w:rPr>
            <w:rStyle w:val="Hyperlink"/>
          </w:rPr>
          <w:t xml:space="preserve">10.1089/big.2013.0029</w:t>
        </w:r>
      </w:hyperlink>
      <w:r>
        <w:t xml:space="preserve">.</w:t>
      </w:r>
    </w:p>
    <w:bookmarkEnd w:id="173"/>
    <w:bookmarkStart w:id="175" w:name="ref-openRightsGroup"/>
    <w:p>
      <w:pPr>
        <w:pStyle w:val="Bibliography"/>
      </w:pPr>
      <w:r>
        <w:t xml:space="preserve">‘Open rights group: Who we are’ (no date). Available at:</w:t>
      </w:r>
      <w:r>
        <w:t xml:space="preserve"> </w:t>
      </w:r>
      <w:hyperlink r:id="rId174">
        <w:r>
          <w:rPr>
            <w:rStyle w:val="Hyperlink"/>
          </w:rPr>
          <w:t xml:space="preserve">https://www.openrightsgroup.org/who-we-are/</w:t>
        </w:r>
      </w:hyperlink>
      <w:r>
        <w:t xml:space="preserve"> </w:t>
      </w:r>
      <w:r>
        <w:t xml:space="preserve">(Accessed: 16 June 2022).</w:t>
      </w:r>
    </w:p>
    <w:bookmarkEnd w:id="175"/>
    <w:bookmarkStart w:id="177" w:name="ref-p2pwikiRecursivePublic"/>
    <w:p>
      <w:pPr>
        <w:pStyle w:val="Bibliography"/>
      </w:pPr>
      <w:r>
        <w:t xml:space="preserve">‘Recursive Public (Discussion Page)’ (no date). Available at:</w:t>
      </w:r>
      <w:r>
        <w:t xml:space="preserve"> </w:t>
      </w:r>
      <w:hyperlink r:id="rId176">
        <w:r>
          <w:rPr>
            <w:rStyle w:val="Hyperlink"/>
          </w:rPr>
          <w:t xml:space="preserve">https://wiki.p2pfoundation.net/Recursive_Public</w:t>
        </w:r>
      </w:hyperlink>
      <w:r>
        <w:t xml:space="preserve"> </w:t>
      </w:r>
      <w:r>
        <w:t xml:space="preserve">(Accessed: 16 June 2022).</w:t>
      </w:r>
    </w:p>
    <w:bookmarkEnd w:id="177"/>
    <w:bookmarkStart w:id="179" w:name="ref-schneider2018"/>
    <w:p>
      <w:pPr>
        <w:pStyle w:val="Bibliography"/>
      </w:pPr>
      <w:r>
        <w:t xml:space="preserve">Schneider, H.</w:t>
      </w:r>
      <w:r>
        <w:t xml:space="preserve"> </w:t>
      </w:r>
      <w:r>
        <w:rPr>
          <w:i/>
        </w:rPr>
        <w:t xml:space="preserve">et al.</w:t>
      </w:r>
      <w:r>
        <w:t xml:space="preserve"> </w:t>
      </w:r>
      <w:r>
        <w:t xml:space="preserve">(2018) ‘Empowerment in HCI - A survey and framework’, in</w:t>
      </w:r>
      <w:r>
        <w:t xml:space="preserve"> </w:t>
      </w:r>
      <w:r>
        <w:rPr>
          <w:i/>
        </w:rPr>
        <w:t xml:space="preserve">Conference on human factors in computing systems - proceedings</w:t>
      </w:r>
      <w:r>
        <w:t xml:space="preserve">. Association for Computing Machinery. doi:</w:t>
      </w:r>
      <w:r>
        <w:t xml:space="preserve"> </w:t>
      </w:r>
      <w:hyperlink r:id="rId178">
        <w:r>
          <w:rPr>
            <w:rStyle w:val="Hyperlink"/>
          </w:rPr>
          <w:t xml:space="preserve">10.1145/3173574.3173818</w:t>
        </w:r>
      </w:hyperlink>
      <w:r>
        <w:t xml:space="preserve">.</w:t>
      </w:r>
    </w:p>
    <w:bookmarkEnd w:id="179"/>
    <w:bookmarkStart w:id="181" w:name="ref-storni2014"/>
    <w:p>
      <w:pPr>
        <w:pStyle w:val="Bibliography"/>
      </w:pPr>
      <w:r>
        <w:t xml:space="preserve">Storni, C. (2014) ‘The problem of De-sign as conjuring: Empowerment-in-use and the politics of seams’,</w:t>
      </w:r>
      <w:r>
        <w:t xml:space="preserve"> </w:t>
      </w:r>
      <w:r>
        <w:rPr>
          <w:i/>
        </w:rPr>
        <w:t xml:space="preserve">Proceedings of the 13th Participatory Design Conference on Research Papers - PDC ’14</w:t>
      </w:r>
      <w:r>
        <w:t xml:space="preserve">. New York, New York, USA: ACM Press, pp. 161–170. doi:</w:t>
      </w:r>
      <w:r>
        <w:t xml:space="preserve"> </w:t>
      </w:r>
      <w:hyperlink r:id="rId180">
        <w:r>
          <w:rPr>
            <w:rStyle w:val="Hyperlink"/>
          </w:rPr>
          <w:t xml:space="preserve">10.1145/2661435.2661436</w:t>
        </w:r>
      </w:hyperlink>
      <w:r>
        <w:t xml:space="preserve">.</w:t>
      </w:r>
    </w:p>
    <w:bookmarkEnd w:id="181"/>
    <w:bookmarkStart w:id="183" w:name="ref-taplin2012"/>
    <w:p>
      <w:pPr>
        <w:pStyle w:val="Bibliography"/>
      </w:pPr>
      <w:r>
        <w:t xml:space="preserve">Taplin, D. H. and Clark, H. (2012) ‘Theory of change basics: A primer on theory of change’,</w:t>
      </w:r>
      <w:r>
        <w:t xml:space="preserve"> </w:t>
      </w:r>
      <w:r>
        <w:rPr>
          <w:i/>
        </w:rPr>
        <w:t xml:space="preserve">ActKnowledge</w:t>
      </w:r>
      <w:r>
        <w:t xml:space="preserve">, p. 9. Available at:</w:t>
      </w:r>
      <w:r>
        <w:t xml:space="preserve"> </w:t>
      </w:r>
      <w:hyperlink r:id="rId182">
        <w:r>
          <w:rPr>
            <w:rStyle w:val="Hyperlink"/>
          </w:rPr>
          <w:t xml:space="preserve">http://www.theoryofchange.org/wp-content/uploads/toco_library/pdf/ToCBasics.pdf</w:t>
        </w:r>
      </w:hyperlink>
      <w:r>
        <w:t xml:space="preserve">.</w:t>
      </w:r>
    </w:p>
    <w:bookmarkEnd w:id="183"/>
    <w:bookmarkStart w:id="185" w:name="ref-taylor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184">
        <w:r>
          <w:rPr>
            <w:rStyle w:val="Hyperlink"/>
          </w:rPr>
          <w:t xml:space="preserve">10.1177/2053951717736335</w:t>
        </w:r>
      </w:hyperlink>
      <w:r>
        <w:t xml:space="preserve">.</w:t>
      </w:r>
    </w:p>
    <w:bookmarkEnd w:id="185"/>
    <w:bookmarkStart w:id="187"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86">
        <w:r>
          <w:rPr>
            <w:rStyle w:val="Hyperlink"/>
          </w:rPr>
          <w:t xml:space="preserve">10.1145/2851581.2886436</w:t>
        </w:r>
      </w:hyperlink>
      <w:r>
        <w:t xml:space="preserve">.</w:t>
      </w:r>
    </w:p>
    <w:bookmarkEnd w:id="187"/>
    <w:bookmarkEnd w:id="188"/>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Diagram used here unchanged from</w:t>
      </w:r>
      <w:r>
        <w:t xml:space="preserve"> </w:t>
      </w:r>
      <w:r>
        <w:rPr>
          <w:i/>
        </w:rPr>
        <w:t xml:space="preserve">Hivos ToC Guidelines</w:t>
      </w:r>
      <w:r>
        <w:t xml:space="preserve"> </w:t>
      </w:r>
      <w:r>
        <w:t xml:space="preserve">(Es, Guijt and Vogel,</w:t>
      </w:r>
      <w:r>
        <w:t xml:space="preserve"> </w:t>
      </w:r>
      <w:hyperlink w:anchor="ref-vanEs2015">
        <w:r>
          <w:rPr>
            <w:rStyle w:val="Hyperlink"/>
          </w:rPr>
          <w:t xml:space="preserve">2015</w:t>
        </w:r>
      </w:hyperlink>
      <w:r>
        <w:t xml:space="preserve">, p. p90)</w:t>
      </w:r>
      <w:r>
        <w:t xml:space="preserve"> </w:t>
      </w:r>
      <w:r>
        <w:t xml:space="preserve">under a CC-BY-NC-SA 3.0 license, whose authors state that this diagram was adapted from earlier work by Wilber (1996), Keystone (2008) and Retolaza (2010, 2012).</w:t>
      </w:r>
    </w:p>
  </w:footnote>
  <w:footnote w:id="28">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0">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71315d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531">
    <w:nsid w:val="b3cbbdee"/>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jpg" /><Relationship Type="http://schemas.openxmlformats.org/officeDocument/2006/relationships/image" Id="rId75" Target="media/rId75.png" /><Relationship Type="http://schemas.openxmlformats.org/officeDocument/2006/relationships/image" Id="rId95" Target="media/rId95.jpg" /><Relationship Type="http://schemas.openxmlformats.org/officeDocument/2006/relationships/image" Id="rId70" Target="media/rId70.jpg" /><Relationship Type="http://schemas.openxmlformats.org/officeDocument/2006/relationships/image" Id="rId79" Target="media/rId79.png" /><Relationship Type="http://schemas.openxmlformats.org/officeDocument/2006/relationships/image" Id="rId96" Target="media/rId96.png" /><Relationship Type="http://schemas.openxmlformats.org/officeDocument/2006/relationships/image" Id="rId102" Target="media/rId102.jpg" /><Relationship Type="http://schemas.openxmlformats.org/officeDocument/2006/relationships/image" Id="rId84" Target="media/rId84.jpg" /><Relationship Type="http://schemas.openxmlformats.org/officeDocument/2006/relationships/image" Id="rId103" Target="media/rId103.jpg" /><Relationship Type="http://schemas.openxmlformats.org/officeDocument/2006/relationships/image" Id="rId82" Target="media/rId82.jpg" /><Relationship Type="http://schemas.openxmlformats.org/officeDocument/2006/relationships/image" Id="rId88" Target="media/rId88.jpg" /><Relationship Type="http://schemas.openxmlformats.org/officeDocument/2006/relationships/image" Id="rId87" Target="media/rId87.png" /><Relationship Type="http://schemas.openxmlformats.org/officeDocument/2006/relationships/image" Id="rId90" Target="media/rId90.jpg" /><Relationship Type="http://schemas.openxmlformats.org/officeDocument/2006/relationships/image" Id="rId54" Target="media/rId54.png" /><Relationship Type="http://schemas.openxmlformats.org/officeDocument/2006/relationships/image" Id="rId83" Target="media/rId83.jpg" /><Relationship Type="http://schemas.openxmlformats.org/officeDocument/2006/relationships/image" Id="rId89" Target="media/rId89.jpg"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93" Target="media/rId93.jpg" /><Relationship Type="http://schemas.openxmlformats.org/officeDocument/2006/relationships/image" Id="rId66" Target="media/rId66.png" /><Relationship Type="http://schemas.openxmlformats.org/officeDocument/2006/relationships/image" Id="rId85" Target="media/rId85.jp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80" Target="media/rId80.png" /><Relationship Type="http://schemas.openxmlformats.org/officeDocument/2006/relationships/image" Id="rId61" Target="media/rId61.png" /><Relationship Type="http://schemas.openxmlformats.org/officeDocument/2006/relationships/hyperlink" Id="rId122" Target="http://radar.oreilly.com/2011/07/why-files-need-to-die.html" TargetMode="External" /><Relationship Type="http://schemas.openxmlformats.org/officeDocument/2006/relationships/hyperlink" Id="rId143" Target="http://www.minimizedistraction.com/" TargetMode="External" /><Relationship Type="http://schemas.openxmlformats.org/officeDocument/2006/relationships/hyperlink" Id="rId182" Target="http://www.theoryofchange.org/wp-content/uploads/toco_library/pdf/ToCBasics.pdf" TargetMode="External" /><Relationship Type="http://schemas.openxmlformats.org/officeDocument/2006/relationships/hyperlink" Id="rId147" Target="http://www3.weforum.org/docs/WEF_RethinkingPersonalData_ANewLens_Report_2014.pdf" TargetMode="External" /><Relationship Type="http://schemas.openxmlformats.org/officeDocument/2006/relationships/hyperlink" Id="rId129" Target="https://doi.org/10.1007/s12394-010-0062-y" TargetMode="External" /><Relationship Type="http://schemas.openxmlformats.org/officeDocument/2006/relationships/hyperlink" Id="rId162" Target="https://doi.org/10.1016/j.lisr.2008.07.001" TargetMode="External" /><Relationship Type="http://schemas.openxmlformats.org/officeDocument/2006/relationships/hyperlink" Id="rId172" Target="https://doi.org/10.1089/big.2013.0029" TargetMode="External" /><Relationship Type="http://schemas.openxmlformats.org/officeDocument/2006/relationships/hyperlink" Id="rId151" Target="https://doi.org/10.1145/1125451.1125469" TargetMode="External" /><Relationship Type="http://schemas.openxmlformats.org/officeDocument/2006/relationships/hyperlink" Id="rId145" Target="https://doi.org/10.1145/2379057.2379109" TargetMode="External" /><Relationship Type="http://schemas.openxmlformats.org/officeDocument/2006/relationships/hyperlink" Id="rId164" Target="https://doi.org/10.1145/2556288.2557295" TargetMode="External" /><Relationship Type="http://schemas.openxmlformats.org/officeDocument/2006/relationships/hyperlink" Id="rId180" Target="https://doi.org/10.1145/2661435.2661436" TargetMode="External" /><Relationship Type="http://schemas.openxmlformats.org/officeDocument/2006/relationships/hyperlink" Id="rId118" Target="https://doi.org/10.1145/2670528" TargetMode="External" /><Relationship Type="http://schemas.openxmlformats.org/officeDocument/2006/relationships/hyperlink" Id="rId186" Target="https://doi.org/10.1145/2851581.2886436" TargetMode="External" /><Relationship Type="http://schemas.openxmlformats.org/officeDocument/2006/relationships/hyperlink" Id="rId126" Target="https://doi.org/10.1145/3173574.3173710" TargetMode="External" /><Relationship Type="http://schemas.openxmlformats.org/officeDocument/2006/relationships/hyperlink" Id="rId178" Target="https://doi.org/10.1145/3173574.3173818" TargetMode="External" /><Relationship Type="http://schemas.openxmlformats.org/officeDocument/2006/relationships/hyperlink" Id="rId131" Target="https://doi.org/10.1145/3301655" TargetMode="External" /><Relationship Type="http://schemas.openxmlformats.org/officeDocument/2006/relationships/hyperlink" Id="rId137" Target="https://doi.org/10.1145/381854.381893" TargetMode="External" /><Relationship Type="http://schemas.openxmlformats.org/officeDocument/2006/relationships/hyperlink" Id="rId184" Target="https://doi.org/10.1177/2053951717736335" TargetMode="External" /><Relationship Type="http://schemas.openxmlformats.org/officeDocument/2006/relationships/hyperlink" Id="rId158" Target="https://doi.org/10.14763/2018.3.927" TargetMode="External" /><Relationship Type="http://schemas.openxmlformats.org/officeDocument/2006/relationships/hyperlink" Id="rId168" Target="https://doi.org/10.2139/ssrn.2508051" TargetMode="External" /><Relationship Type="http://schemas.openxmlformats.org/officeDocument/2006/relationships/hyperlink" Id="rId149" Target="https://doi.org/10.2307/4132315" TargetMode="External" /><Relationship Type="http://schemas.openxmlformats.org/officeDocument/2006/relationships/hyperlink" Id="rId166" Target="https://doi.org/10.5210/fm.v17i5.4013" TargetMode="External" /><Relationship Type="http://schemas.openxmlformats.org/officeDocument/2006/relationships/hyperlink" Id="rId124" Target="https://eprints.ncl.ac.uk/273832#." TargetMode="External" /><Relationship Type="http://schemas.openxmlformats.org/officeDocument/2006/relationships/hyperlink" Id="rId134" Target="https://explainableai.com/" TargetMode="External" /><Relationship Type="http://schemas.openxmlformats.org/officeDocument/2006/relationships/hyperlink" Id="rId120" Target="https://jstor.org/stable/10.2307/26059207" TargetMode="External" /><Relationship Type="http://schemas.openxmlformats.org/officeDocument/2006/relationships/hyperlink" Id="rId141" Target="https://mitpress.mit.edu/books/raw-data-oxymoron" TargetMode="External" /><Relationship Type="http://schemas.openxmlformats.org/officeDocument/2006/relationships/hyperlink" Id="rId170" Target="https://mydata.org/declaration/" TargetMode="External" /><Relationship Type="http://schemas.openxmlformats.org/officeDocument/2006/relationships/hyperlink" Id="rId160" Target="https://policyreview.info/articles/news/harnessing-collective-potential-gdpr-access-rights-towards-ecology-transparency/1487" TargetMode="External" /><Relationship Type="http://schemas.openxmlformats.org/officeDocument/2006/relationships/hyperlink" Id="rId153" Target="https://s3.amazonaws.com/academia.edu.documents/46870765/haystack.pdf" TargetMode="External" /><Relationship Type="http://schemas.openxmlformats.org/officeDocument/2006/relationships/hyperlink" Id="rId139" Target="https://socialmediacollective.org/reading-lists/critical-algorithm-studies/" TargetMode="External" /><Relationship Type="http://schemas.openxmlformats.org/officeDocument/2006/relationships/hyperlink" Id="rId176" Target="https://wiki.p2pfoundation.net/Recursive_Public" TargetMode="External" /><Relationship Type="http://schemas.openxmlformats.org/officeDocument/2006/relationships/hyperlink" Id="rId174" Target="https://www.openrightsgroup.org/who-we-are/" TargetMode="External" /></Relationships>
</file>

<file path=word/_rels/footnotes.xml.rels><?xml version="1.0" encoding="UTF-8"?>
<Relationships xmlns="http://schemas.openxmlformats.org/package/2006/relationships"><Relationship Type="http://schemas.openxmlformats.org/officeDocument/2006/relationships/hyperlink" Id="rId122" Target="http://radar.oreilly.com/2011/07/why-files-need-to-die.html" TargetMode="External" /><Relationship Type="http://schemas.openxmlformats.org/officeDocument/2006/relationships/hyperlink" Id="rId143" Target="http://www.minimizedistraction.com/" TargetMode="External" /><Relationship Type="http://schemas.openxmlformats.org/officeDocument/2006/relationships/hyperlink" Id="rId182" Target="http://www.theoryofchange.org/wp-content/uploads/toco_library/pdf/ToCBasics.pdf" TargetMode="External" /><Relationship Type="http://schemas.openxmlformats.org/officeDocument/2006/relationships/hyperlink" Id="rId147" Target="http://www3.weforum.org/docs/WEF_RethinkingPersonalData_ANewLens_Report_2014.pdf" TargetMode="External" /><Relationship Type="http://schemas.openxmlformats.org/officeDocument/2006/relationships/hyperlink" Id="rId129" Target="https://doi.org/10.1007/s12394-010-0062-y" TargetMode="External" /><Relationship Type="http://schemas.openxmlformats.org/officeDocument/2006/relationships/hyperlink" Id="rId162" Target="https://doi.org/10.1016/j.lisr.2008.07.001" TargetMode="External" /><Relationship Type="http://schemas.openxmlformats.org/officeDocument/2006/relationships/hyperlink" Id="rId172" Target="https://doi.org/10.1089/big.2013.0029" TargetMode="External" /><Relationship Type="http://schemas.openxmlformats.org/officeDocument/2006/relationships/hyperlink" Id="rId151" Target="https://doi.org/10.1145/1125451.1125469" TargetMode="External" /><Relationship Type="http://schemas.openxmlformats.org/officeDocument/2006/relationships/hyperlink" Id="rId145" Target="https://doi.org/10.1145/2379057.2379109" TargetMode="External" /><Relationship Type="http://schemas.openxmlformats.org/officeDocument/2006/relationships/hyperlink" Id="rId164" Target="https://doi.org/10.1145/2556288.2557295" TargetMode="External" /><Relationship Type="http://schemas.openxmlformats.org/officeDocument/2006/relationships/hyperlink" Id="rId180" Target="https://doi.org/10.1145/2661435.2661436" TargetMode="External" /><Relationship Type="http://schemas.openxmlformats.org/officeDocument/2006/relationships/hyperlink" Id="rId118" Target="https://doi.org/10.1145/2670528" TargetMode="External" /><Relationship Type="http://schemas.openxmlformats.org/officeDocument/2006/relationships/hyperlink" Id="rId186" Target="https://doi.org/10.1145/2851581.2886436" TargetMode="External" /><Relationship Type="http://schemas.openxmlformats.org/officeDocument/2006/relationships/hyperlink" Id="rId126" Target="https://doi.org/10.1145/3173574.3173710" TargetMode="External" /><Relationship Type="http://schemas.openxmlformats.org/officeDocument/2006/relationships/hyperlink" Id="rId178" Target="https://doi.org/10.1145/3173574.3173818" TargetMode="External" /><Relationship Type="http://schemas.openxmlformats.org/officeDocument/2006/relationships/hyperlink" Id="rId131" Target="https://doi.org/10.1145/3301655" TargetMode="External" /><Relationship Type="http://schemas.openxmlformats.org/officeDocument/2006/relationships/hyperlink" Id="rId137" Target="https://doi.org/10.1145/381854.381893" TargetMode="External" /><Relationship Type="http://schemas.openxmlformats.org/officeDocument/2006/relationships/hyperlink" Id="rId184" Target="https://doi.org/10.1177/2053951717736335" TargetMode="External" /><Relationship Type="http://schemas.openxmlformats.org/officeDocument/2006/relationships/hyperlink" Id="rId158" Target="https://doi.org/10.14763/2018.3.927" TargetMode="External" /><Relationship Type="http://schemas.openxmlformats.org/officeDocument/2006/relationships/hyperlink" Id="rId168" Target="https://doi.org/10.2139/ssrn.2508051" TargetMode="External" /><Relationship Type="http://schemas.openxmlformats.org/officeDocument/2006/relationships/hyperlink" Id="rId149" Target="https://doi.org/10.2307/4132315" TargetMode="External" /><Relationship Type="http://schemas.openxmlformats.org/officeDocument/2006/relationships/hyperlink" Id="rId166" Target="https://doi.org/10.5210/fm.v17i5.4013" TargetMode="External" /><Relationship Type="http://schemas.openxmlformats.org/officeDocument/2006/relationships/hyperlink" Id="rId124" Target="https://eprints.ncl.ac.uk/273832#." TargetMode="External" /><Relationship Type="http://schemas.openxmlformats.org/officeDocument/2006/relationships/hyperlink" Id="rId134" Target="https://explainableai.com/" TargetMode="External" /><Relationship Type="http://schemas.openxmlformats.org/officeDocument/2006/relationships/hyperlink" Id="rId120" Target="https://jstor.org/stable/10.2307/26059207" TargetMode="External" /><Relationship Type="http://schemas.openxmlformats.org/officeDocument/2006/relationships/hyperlink" Id="rId141" Target="https://mitpress.mit.edu/books/raw-data-oxymoron" TargetMode="External" /><Relationship Type="http://schemas.openxmlformats.org/officeDocument/2006/relationships/hyperlink" Id="rId170" Target="https://mydata.org/declaration/" TargetMode="External" /><Relationship Type="http://schemas.openxmlformats.org/officeDocument/2006/relationships/hyperlink" Id="rId160" Target="https://policyreview.info/articles/news/harnessing-collective-potential-gdpr-access-rights-towards-ecology-transparency/1487" TargetMode="External" /><Relationship Type="http://schemas.openxmlformats.org/officeDocument/2006/relationships/hyperlink" Id="rId153" Target="https://s3.amazonaws.com/academia.edu.documents/46870765/haystack.pdf" TargetMode="External" /><Relationship Type="http://schemas.openxmlformats.org/officeDocument/2006/relationships/hyperlink" Id="rId139" Target="https://socialmediacollective.org/reading-lists/critical-algorithm-studies/" TargetMode="External" /><Relationship Type="http://schemas.openxmlformats.org/officeDocument/2006/relationships/hyperlink" Id="rId176" Target="https://wiki.p2pfoundation.net/Recursive_Public" TargetMode="External" /><Relationship Type="http://schemas.openxmlformats.org/officeDocument/2006/relationships/hyperlink" Id="rId174" Target="https://www.openrightsgroup.org/who-we-a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2022-06-22T18:15:35Z</dcterms:created>
  <dcterms:modified xsi:type="dcterms:W3CDTF">2022-06-22T18:15:35Z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